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470/2012 vom 25. Oktober 2012</w:t>
      </w:r>
    </w:p>
    <w:p>
      <w:r>
        <w:t>Bundesgericht, 2012-10-25, DE</w:t>
      </w:r>
    </w:p>
    <w:p>
      <w:r>
        <w:rPr>
          <w:b/>
        </w:rPr>
        <w:t xml:space="preserve">Quelle: </w:t>
      </w:r>
      <w:r>
        <w:t>https://mcp.opencaselaw.ch/entscheid/bger_1C_470_2012</w:t>
      </w:r>
    </w:p>
    <w:p>
      <w:r>
        <w:t>FR: TF 1C 470/2012 du 25 octobre 2012</w:t>
      </w:r>
    </w:p>
    <w:p>
      <w:r>
        <w:t>IT: TF 1C 470/2012 del 25 ottobre 2012</w:t>
      </w:r>
    </w:p>
    <w:p>
      <w:pPr>
        <w:pStyle w:val="Heading2"/>
      </w:pPr>
      <w:r>
        <w:t>Regeste</w:t>
      </w:r>
    </w:p>
    <w:p>
      <w:r>
        <w:t>Auslieferung an Deutschland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eine Auslieferung und damit um ein Sachgebiet, bei dem die Beschwerde nach Art. 84 BGG insoweit möglich ist. Entgegen der Ansicht des Beschwerdeführers handelt es sich jedoch um keinen besonders bedeutenden Fall. Was er vorbringt, ist - im Lichte der auch bei Auslieferungen restriktiven Rechtsprechung - nicht geeignet, einen solchen darzutun. Anfechtungsobjekt ist hier einzig der Entscheid der Vorinstanz. Diese stützt sich darin nicht auf die als vertraulich eingestuften Berichte des Nachrichtendiensts des Bundes und der Bundeskriminalpolizei, in welche der Beschwerdeführer keine Einsicht erhalten hat. Dieser konnte alle Unterlagen einsehen, die für den angefochtenen Entscheid relevant waren. Eine Verletzung des rechtlichen Gehörs und damit eines elementaren Verfahrensgrundsatzes nach Art. 84 Abs. 2 BGG ist unter diesen Umständen nicht auszumachen. Die Vorinstanz hat sich einlässlich zur beidseitigen Strafbarkeit geäussert (angefochtener Entscheid S. 5-16 E. 7). Sie kommt zum Schluss, das dem Beschwerdeführer vorgeworfene Verhalten fiele nach schweizerischem Recht unter den Tatbestand der Unterstützung einer kriminellen Organisation gemäss Art. 260ter StGB . Die Erwägungen der Vorinstanz dazu stützen sich auf die bundesgerichtliche Rechtsprechung und überzeugen (insb. angefochtener Entscheid S. 14 ff. E. 7.9.3 ff.). Darauf kann verwiesen werden ( Art. 109 Abs. 3 BGG ). Dass es sich sonst wie rechtfertigen könnte, den vorliegenden Fall als besonders bedeutend einzustufen, macht der Beschwerdeführer nicht geltend und ist nicht ersichtlich. Es geht um eine Auslieferung an Deutschland und damit einen bewährten Rechtsstaat. Die allfällige Weiterlieferung an die Türkei - wo der Beschwerdeführer eine Art. 3 EMRK verletzende unmenschliche Behandlung befürchtet - bedürfte der Zustimmung der Schweiz ( Art. 15 EAUe ). Die Beschwerde ist danach unzulässig.</w:t>
      </w:r>
    </w:p>
    <w:p>
      <w:r>
        <w:rPr>
          <w:b/>
        </w:rPr>
        <w:t>E. 2</w:t>
      </w:r>
    </w:p>
    <w:p>
      <w:r>
        <w:t>Da sie aussichtslos war, kann die unentgeltliche Rechtspflege und Verbeiständung nach Art. 64 BGG nicht bewilligt werden. Unter den gegebenen Umständen - der Beschwerdeführer befindet sich seit über einem Jahr in Haft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