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470/2011 vom 14. Mai 2012</w:t>
      </w:r>
    </w:p>
    <w:p>
      <w:r>
        <w:t>Bundesgericht, 2012-05-14, FR</w:t>
      </w:r>
    </w:p>
    <w:p>
      <w:r>
        <w:rPr>
          <w:b/>
        </w:rPr>
        <w:t xml:space="preserve">Quelle: </w:t>
      </w:r>
      <w:r>
        <w:t>https://mcp.opencaselaw.ch/entscheid/bger_1C_470_2011</w:t>
      </w:r>
    </w:p>
    <w:p>
      <w:r>
        <w:t>FR: TF 1C 470/2011 du 14 mai 2012</w:t>
      </w:r>
    </w:p>
    <w:p>
      <w:r>
        <w:t>IT: TF 1C 470/2011 del 14 maggio 2012</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la recourante possède la qualité pour recourir au sens de l' art. 89 al. 1 LTF et les conditions formelles de recevabilité sont remplies, de sorte qu'il y a lieu d'entrer en matière.</w:t>
      </w:r>
    </w:p>
    <w:p>
      <w:r>
        <w:rPr>
          <w:b/>
        </w:rPr>
        <w:t>E. 2</w:t>
      </w:r>
    </w:p>
    <w:p>
      <w:r>
        <w:t>La recourante se plaint de violations de son droit d'être entendue, en particulier de son droit à la réplique.</w:t>
      </w:r>
    </w:p>
    <w:p>
      <w:r>
        <w:rPr>
          <w:b/>
        </w:rPr>
        <w:t>E. 2.1</w:t>
      </w:r>
    </w:p>
    <w:p>
      <w:r>
        <w:t>Tel qu'il est garanti par l' art. 29 al. 2 Cst. ,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 ATF 135 II 286 consid. 5.1 p. 293; 129 II 497 consid. 2.2 p. 504 s.; 124 II 132 consid. 2b p. 137 et les références). Il comprend notamment le droit de consulter le dossier ( ATF 127 V 431 consid. 3a p. 436; 126 I 7 consid. 2b p. 10) qui s'étend à toutes les pièces décisives ( ATF 121 I 225 consid. 2a p. 227) et qui garantit que les parties puissent prendre connaissance des éléments fondant la décision et s'exprimer à leur sujet ( ATF 129 I 85 consid. 4.1 p. 88 et les références).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et les références; sur la notion d'arbitraire, voir ATF 137 I 1 consid. 2.4 p. 5).</w:t>
      </w:r>
    </w:p>
    <w:p>
      <w:r>
        <w:rPr>
          <w:b/>
        </w:rPr>
        <w:t>E. 2.2</w:t>
      </w:r>
    </w:p>
    <w:p>
      <w:r>
        <w:t>La recourante fait tout d'abord valoir une violation de son droit d'être entendue au motif qu'elle n'a pas pu consulter l'assentiment du canton de Berne à l'annulation de la naturalisation et se déterminer à ce sujet avant que l'ODM ne rende sa décision. L'intéressée se prévaut en particulier d'un arrêt de la Cour européenne des droits de l'homme (arrêt du 18 février 2010 dans la cause Baccichetti contre France, § 30) qui a trait à une procédure judiciaire. L'arrêt en question, invoqué à l'appui de son droit à la réplique, n'apparaît pas déterminant dans le cas d'espèce puisque la violation dénoncée par l'intéressée a eu lieu durant la procédure administrative, et non pas dans le cadre de la procédure judiciaire. Par ailleurs, l'assentiment cantonal constitue une simple condition formelle à l'annulation de la naturalisation facilitée (cf. art. 41 LN ); il n'a pas à être motivé et ne constitue pas une décision au sens de l' art. 5 PA . Au demeurant, la recourante avait été informée que l'accord du canton serait requis conformément à l' art. 41 LN puisque l'ODM le lui avait indiqué dans sa lettre du 25 novembre 2009. Quoi qu'il en soit, il ne ressort pas du dossier, et la recourante ne le prétend pas, que l'accès au dossier lui aurait été refusé. Celle-ci a donc eu l'opportunité de consulter les pièces du dossier de l'ODM et de se déterminer sur l'assentiment cantonal dans le cadre de la procédure de recours devant l'instance précédente qui dispose d'un plein pouvoir d'examen en fait et en droit, tout comme l'ODM (cf. art. 49 PA , applicable par renvoi de l' art. 37 LTAF ). Dans ces circonstances, l'ODM n'était pas tenu de communiquer d'office l'assentiment cantonal (cf. arrêts du Tribunal fédéral 1C_324/2009 du 16 novembre 2009 consid. 2.2 et 1C_535/2010 du 13 janvier 2011 consid. 3.2). Le premier moyen tiré de la violation du droit d'être entendu doit donc être rejeté.</w:t>
      </w:r>
    </w:p>
    <w:p>
      <w:r>
        <w:rPr>
          <w:b/>
        </w:rPr>
        <w:t>E. 2.3</w:t>
      </w:r>
    </w:p>
    <w:p>
      <w:r>
        <w:t>La recourante se plaint également du fait qu'elle n'a pas pu participer aux mesures d'instruction complémentaires diligentées par l'ODM portant essentiellement sur le père biologique de B.________ née durant l'union conjugale, sur la séropositivité de A.________ et sur les circonstances ayant entouré la condamnation pénale de l'homme qui avait abusé sexuellement de sa fille aînée. Elle soutient en particulier qu'elle n'a pas été informée de ces mesures et qu'elle n'a pas pu se déterminer sur les éléments de preuve collectés. Il ressort du dossier de l'ODM que la recourante a elle-même libéré du secret médical le médecin consulté au Centre d'accueil et service des urgences de C.________ le 10 mars 2010 afin d'éclaircir la question de la séropositivité de son ex-époux. Dans une correspondance du même jour, elle s'est exprimée sur l'identité du père biologique de B.________. Le 15 mars, l'ODM lui a adressé un questionnaire auquel elle a répondu de manière circonstanciée le 20 mars 2010. Elle s'est à nouveau expliquée par écrit sur sa relation avec la personne condamnée pour le viol de sa fille et a fourni à l'autorité une copie du jugement. Elle a également exposé à l'autorité les raisons pour lesquelles les époux habitaient dans des appartements séparés. La recourante a donc participé de manière active à l'instruction complémentaire diligentée par l'ODM. Certes, les réponses données par le médecin ne lui ont pas été communiquées. Cela étant, l'autorité pouvait sans violer le droit d'être entendu s'abstenir de le faire. En effet, le médecin interrogé n'a pas été en mesure de répondre aux questions posées, le dossier médical conservé ne contenant aucune indication sur un test de séropositivité. Cet avis médical n'était dès lors pas déterminant pour l'issue du litige, la recourante connaissant la séropositivité de son ex-époux au moment de son arrivée en Suisse. La recourante ne fait au demeurant pas valoir qu'elle aurait été empêchée de consulter le dossier de l'ODM et de se déterminer sur la prise de position du médecin. Par conséquent, les mesures d'instruction complémentaires diligentées par l'ODM échappent à l'arbitraire et le grief de violation du droit d'être entendu doit également être rejeté sur ce point.</w:t>
      </w:r>
    </w:p>
    <w:p>
      <w:r>
        <w:rPr>
          <w:b/>
        </w:rPr>
        <w:t>E. 3</w:t>
      </w:r>
    </w:p>
    <w:p>
      <w:r>
        <w:t>Sur le fond, la recourante fait valoir que l'arrêt entrepris viole l' art. 41 LN .</w:t>
      </w:r>
    </w:p>
    <w:p>
      <w:r>
        <w:rPr>
          <w:b/>
        </w:rPr>
        <w:t>E. 3.1</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estimé que le laps de temps entre la déclaration commune (5 décembre 2007), l'octroi de la naturalisation facilitée (27 décembre 2007) et le dépôt d'une requête commune en divorce (23 septembre 2008), soit neuf mois environ, fondait la présomption que la communauté conjugale de la recourante avec son époux n'était pas stable, ni au moment de la signature de la déclaration commune ni au moment de l'octroi de la naturalisation facilitée. En l'occurrence, la présomption de fait n'est pas discutée par la recourante et elle peut effectivement se fonder sur un enchaînement relativement rapide des événements, en particulier le dépôt de la requête commune de divorce avec accord complet intervenu environ neuf mois après l'octroi de la naturalisation (arrêt 1C_472/2011 du 22 décembre 2011 consid. 2.1.3; arrêt 1C_167/2011 du 14 juin 2011 consid. 3.2). Pour l'instance précédente, cette présomption était renforcée par le fait que les époux n'avaient plus eu de relations maritales dès 2000, qu'ils avaient vécu dans des appartements séparés dès 2003 et que la question de la séparation ou d'un divorce avait déjà été évoquée au printemps 2005. De plus, la recourante avait entretenu des relations extraconjugales. Dès lors, le Tribunal administratif n'a pas violé le droit fédéral en retenant que l'ensemble de ces éléments n'est pas compatible avec l'existence d'une communauté conjugale. Il a précisé, à juste titre, que le fait que l'ex-époux ait toujours joué un rôle important pour les enfants de la recourante ou que les ex-époux aient conservé de bonnes relations après le divorce ne signifie pas qu'il y ait eu d'union conjugale stable au sens de la loi et de la jurisprudence lors de la signature de la déclaration sur l'union conjugale ou lors de l'octroi de la nationalité suisse. Conformément à la jurisprudence précitée, il s'agit donc uniquement de déterminer si l'intéressée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3.3</w:t>
      </w:r>
    </w:p>
    <w:p>
      <w:r>
        <w:t>En l'espèce, la recourante se borne à affirmer, de manière appellatoire de surcroît, que la séropositivité et l'alcoolisme de son ex-époux auraient provoqué en 2008 une soudaine dégradation du lien conjugal. Ces explications ne sont toutefois pas convaincantes. En effet, il ressort des allégations de la recourante qu'elle connaissait la séropositivité de son ex-époux à son arrivée en Suisse en 1999. Cet élément n'était donc pas nouveau pour la recourante et il ne saurait constituer un événement extraordinaire au sens requis par la jurisprudence. De même, la recourante a affirmé que son ex-époux aurait "recommencé à boire" en 2008, allégation dont on peut déduire que, selon l'intéressée, celui-ci souffrait d'alcoolisme déjà avant la signature de la déclaration commune en décembre 2007. Quoi qu'il en soit, une telle circonstance ne constitue pas à elle seule un événement extraordinaire de nature à provoquer la détérioration des prétendus rapports maritaux en 2008 dès lors que les ex-époux ne cohabitaient plus depuis cinq ans et n'entretenaient plus de relations maritales depuis huit ans.</w:t>
      </w:r>
    </w:p>
    <w:p>
      <w:r>
        <w:rPr>
          <w:b/>
        </w:rPr>
        <w:t>E. 3.4</w:t>
      </w:r>
    </w:p>
    <w:p>
      <w:r>
        <w:t>En définitive, les éléments avancés par la recourante ne suffisent pas à renverser la présomption établie. En effet, celle-ci n'apporte aucun élément propre à démontrer la survenance d'un événement extraordinaire postérieur à la signature de la déclaration commune et susceptible d'expliquer une dégradation aussi rapide du lien conjugal. L'intéressée ne rend pas non plus vraisemblable qu'au moment de la signature de la déclaration commune, elle n'avait pas conscience du fait que la communauté conjugale n'était plus orientée vers l'avenir. Il en découle que les conditions d'application de l' art. 41 LN sont réunies et que le Tribunal administratif fédéral n'a pas abusé de son pouvoir d'appréciation et n'a pas versé dans l'arbitraire en confirmant l'annulation de la naturalisation facilitée qui avait été octroyée à la recourante.</w:t>
      </w:r>
    </w:p>
    <w:p>
      <w:r>
        <w:rPr>
          <w:b/>
        </w:rPr>
        <w:t>E. 4</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