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1C_46/2012 vom 10. Oktober 2012</w:t>
      </w:r>
    </w:p>
    <w:p>
      <w:r>
        <w:t>Bundesgericht, 2012-10-10, DE</w:t>
      </w:r>
    </w:p>
    <w:p>
      <w:r>
        <w:rPr>
          <w:b/>
        </w:rPr>
        <w:t xml:space="preserve">Quelle: </w:t>
      </w:r>
      <w:r>
        <w:t>https://mcp.opencaselaw.ch/entscheid/bger_1C_46_2012</w:t>
      </w:r>
    </w:p>
    <w:p>
      <w:r>
        <w:t>FR: TF 1C_46/2012 du 10 octobre 2012</w:t>
      </w:r>
    </w:p>
    <w:p>
      <w:r>
        <w:t>IT: TF 1C_46/2012 del 10 ottobre 2012</w:t>
      </w:r>
    </w:p>
    <w:p>
      <w:pPr>
        <w:pStyle w:val="Heading2"/>
      </w:pPr>
      <w:r>
        <w:t>Erwägungen</w:t>
      </w:r>
    </w:p>
    <w:p>
      <w:r>
        <w:rPr>
          <w:b/>
        </w:rPr>
        <w:t>E. 1.1</w:t>
      </w:r>
    </w:p>
    <w:p>
      <w:r>
        <w:t>Das angefochtene Urteil stützt sich auf Umweltschutzrecht des Bundes und betrifft somit eine öffentlich-rechtliche Angelegenheit im Sinne von Art. 82 lit. a BGG . Ein Ausschlussgrund nach Art. 83 BGG liegt nicht vor. Genauer zu prüfen ist, ob ein anfechtbarer Entscheid vorliegt.</w:t>
      </w:r>
    </w:p>
    <w:p>
      <w:r>
        <w:rPr>
          <w:b/>
        </w:rPr>
        <w:t>E. 1.2</w:t>
      </w:r>
    </w:p>
    <w:p>
      <w:r>
        <w:t>Die Beschwerdeführerin ist der Ansicht, es liege ein Endentscheid vor. Indessen schliesst der angefochtene Entscheid das Sanierungsverfahren nicht ab, sondern legt die Kostenanteile erst prozentual fest. Hinzu kommt, dass offenbar noch keine Verfügung über die Abgeltungen des Bundes ergangen ist und das Departement Bau und Umwelt in seiner Verfügung vom 19. März 2009 die Gültigkeit der Kostenverteilung unter die Bedingung eines solchen Bundesbeitrags gestellt hat. Während unter der Geltung des Bundesgesetzes vom 16. Dezember 1943 über die Organisation der Bundesrechtspflege (OG; BS 3 531) ein derartiger Entscheid als Teilentscheid zu qualifizieren und wie ein Endentscheid anfechtbar gewesen wäre (Urteil 1A.158/2005 vom 31. Oktober 2005 E. 1, nicht publ. in: BGE 131 II 743 ; vgl. auch BGE 134 II 137 E. 1.3 S. 139 ff.; 121 II 116 E. 1b/cc S. 118 f.; 120 Ib 97 E. 1b S. 99; je mit Hinweisen), stellt er nach dem am 1. Januar 2007 in Kraft getretenen Bundesgerichtsgesetz einen Vorentscheid bzw. einen "materiellrechtlichen Zwischenentscheid" im Sinne von Art. 93 BGG dar (vgl. BGE 134 II 137 E. 1.3.2 S. 140 f.; 130 III 76 E. .1.3 S. 79; je mit Hinweisen). Als solcher ist er der Beschwerde ans Bundesgericht nur dann zugänglich, wenn er entweder einen nicht wieder gutzumachenden Nachteil bewirken kann (Abs. 1 lit. a) oder wenn die Gutheissung der Beschwerde sofort einen Endentscheid herbeiführen und damit einen bedeutenden Aufwand an Zeit oder Kosten für ein weitläufiges Beweisverfahren ersparen würde (Abs. 1 lit. b).</w:t>
      </w:r>
    </w:p>
    <w:p>
      <w:r>
        <w:rPr>
          <w:b/>
        </w:rPr>
        <w:t>E. 1.3</w:t>
      </w:r>
    </w:p>
    <w:p>
      <w:r>
        <w:t>Die selbständige Anfechtbarkeit von Vor- und Zwischenentscheiden bildet aus prozessökonomischen Gründen eine Ausnahme vom Grundsatz, dass sich das Bundesgericht mit jeder Angelegenheit nur einmal befassen soll. Die Ausnahme ist restriktiv zu handhaben, zumal die Parteien keiner Rechte verlustig gehen, wenn sie einen Vor- oder Zwischenentscheid im Sinne von Art. 93 BGG nicht selbständig anfechten, können sie ihn doch mit dem Endentscheid anfechten, soweit er sich auf dessen Inhalt auswirkt ( Art. 93 Abs. 3 BGG ). Es obliegt der Beschwerdeführerin detailliert darzutun, dass die Eintretensvoraussetzungen von Art. 93 BGG erfüllt sind, soweit dies nicht offensichtlich der Fall ist ( BGE 137 III 324 E. 1.1 S. 328 f.; 133 III 629 E. 2.3.1 und 2.4.2 S. 632 f.; je mit Hinweisen).</w:t>
      </w:r>
    </w:p>
    <w:p>
      <w:r>
        <w:rPr>
          <w:b/>
        </w:rPr>
        <w:t>E. 1.4</w:t>
      </w:r>
    </w:p>
    <w:p>
      <w:r>
        <w:t>Es ist weder offensichtlich, inwiefern die Gutheissung der Beschwerde einen bedeutenden Aufwand an Zeit oder Kosten für ein weitläufiges Beweisverfahren ersparen würde, noch, inwiefern der angefochtene Entscheid einen nicht wieder gutzumachenden Nachteil bewirken könnte. Die Abklärungen, die bis zur Verfügung über die Verlegung der betragsmässig feststehenden Kosten notwendig sind, lassen sich durch das vorliegende Verfahren nicht vermeiden, und es ist nicht ersichtlich, inwiefern der Beschwerdeführerin ein Nachteil entstehen sollte, wenn sie den Endentscheid abzuwarten hat. Vor diesem Hintergrund wäre es an ihr gewesen aufzuzeigen, dass die Voraussetzungen von Art. 93 Abs. 1 BGG erfüllt sind. Das hat sie jedoch nicht getan.</w:t>
      </w:r>
    </w:p>
    <w:p>
      <w:r>
        <w:rPr>
          <w:b/>
        </w:rPr>
        <w:t>E. 2</w:t>
      </w:r>
    </w:p>
    <w:p>
      <w:r>
        <w:t>Auf die Beschwerde ist nicht einzutreten. Die Beschwerdeführerin hat in Verfolgung von Vermögensinteressen prozessiert, weshalb ihr die Gerichtskosten aufzuerlegen sind ( Art. 66 Abs. 1 und 4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