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469/2011 vom 27. Januar 2012</w:t>
      </w:r>
    </w:p>
    <w:p>
      <w:r>
        <w:t>Bundesgericht, 2012-01-27, DE</w:t>
      </w:r>
    </w:p>
    <w:p>
      <w:r>
        <w:rPr>
          <w:b/>
        </w:rPr>
        <w:t xml:space="preserve">Quelle: </w:t>
      </w:r>
      <w:r>
        <w:t>https://mcp.opencaselaw.ch/entscheid/bger_1C_469_2011</w:t>
      </w:r>
    </w:p>
    <w:p>
      <w:r>
        <w:t>FR: TF 1C 469/2011 du 27 janvier 2012</w:t>
      </w:r>
    </w:p>
    <w:p>
      <w:r>
        <w:t>IT: TF 1C 469/2011 del 27 gennaio 2012</w:t>
      </w:r>
    </w:p>
    <w:p>
      <w:pPr>
        <w:pStyle w:val="Heading2"/>
      </w:pPr>
      <w:r>
        <w:t>Regeste</w:t>
      </w:r>
    </w:p>
    <w:p>
      <w:r>
        <w:t>Anordnung einer Fahreignungsuntersuchung | Strassenbau und Strassenverkehr</w:t>
      </w:r>
    </w:p>
    <w:p>
      <w:pPr>
        <w:pStyle w:val="Heading2"/>
      </w:pPr>
      <w:r>
        <w:t>Erwägungen</w:t>
      </w:r>
    </w:p>
    <w:p>
      <w:r>
        <w:rPr>
          <w:b/>
        </w:rPr>
        <w:t>E. 1</w:t>
      </w:r>
    </w:p>
    <w:p>
      <w:r>
        <w:t>Der angefochtene, kantonal letztinstanzliche Entscheid der Rekurskommission betrifft die Anordnung einer verkehrsmedizinischen Abklärung der Fahreignung und damit eine öffentlich-rechtliche Angelegenheit. Dagegen ist die Beschwerde zulässig ( Art. 82 Abs. 1 lit. a, Art. 86 Abs. 1 lit. d BGG ), und der Beschwerdeführer ist als zur Eignungsabklärung Verpflichteter befugt, sie zu erheben ( Art. 89 Abs. 1 BGG ). Die übrigen Sachurteilsvoraussetzungen geben zu keinen Bemerkungen Anlass, sodass auf die Beschwerde einzutreten ist.</w:t>
      </w:r>
    </w:p>
    <w:p>
      <w:r>
        <w:rPr>
          <w:b/>
        </w:rPr>
        <w:t>E. 2</w:t>
      </w:r>
    </w:p>
    <w:p>
      <w:r>
        <w:t>Der Beschwerdeführer macht vorab geltend, er habe gegen die Kommissionsmitglieder ein Ausstandsgesuch gestellt, welches nicht behandelt worden sei. Damit wirft er der Rekurskommission sinngemäss eine formelle Rechtsverweigerung vor. Zu Recht. Der Beschwerdeführer hat ein Ausstandsgesuch gestellt und dieses begründet. Darüber wurde nicht formell entschieden. Dem angefochtenen Entscheid lässt sich auch nicht entnehmen, weshalb sich die Rekurskommission für befugt hält, es unbeachtet zu lassen und die Angelegenheit unter Mitwirkung der Kommissionsmitglieder, deren Ausstand der Beschwerdeführer verlangte, zu beurteilen. Das kann zwar bei unzulässigen Ausstandsbegehren angebracht sein (vgl. BGE 114 Ia 278 E. 1 S. 278 f.; 105 Ib 301 ; Urteil des Bundesgerichts 2C_8/2007 vom 27. September 2007 E. 2.4), muss aber begründet werden. Der Umstand allein, dass der Beschwerdeführer in früheren Verfahren regelmässig und jedenfalls zumeist erfolglos Ausstandsbegehren stellte, rechtfertigte nicht, über das hier strittige Ausstandsbegehren stillschweigend hinwegzugehen, darin liegt eine formelle Rechtsverweigerung. Keiner weiteren Ausführungen bedarf, dass dieser Verfahrensfehler durch die in der Vernehmlassung ans Bundesgericht nachgeschobene Begründung nicht geheilt werden kann.</w:t>
      </w:r>
    </w:p>
    <w:p>
      <w:r>
        <w:rPr>
          <w:b/>
        </w:rPr>
        <w:t>E. 3</w:t>
      </w:r>
    </w:p>
    <w:p>
      <w:r>
        <w:t>Damit ist die Beschwerde gutzuheissen, der angefochtene Entscheid aufzuheben und die Sache zu neuer Beurteilung an die Vorinstanz zurückzuweisen, ohne dass die inhaltliche Kritik am angefochtenen Entscheid zu prüfen wäre. Bei diesem Ausgang des Verfahrens sind keine Kosten zu erheben ( Art. 66 Abs. 4 BGG ). Damit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