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469/2010 vom 21. Februar 2011</w:t>
      </w:r>
    </w:p>
    <w:p>
      <w:r>
        <w:t>Bundesgericht, 2011-02-21, FR</w:t>
      </w:r>
    </w:p>
    <w:p>
      <w:r>
        <w:rPr>
          <w:b/>
        </w:rPr>
        <w:t xml:space="preserve">Quelle: </w:t>
      </w:r>
      <w:r>
        <w:t>https://mcp.opencaselaw.ch/entscheid/bger_1C_469_2010</w:t>
      </w:r>
    </w:p>
    <w:p>
      <w:r>
        <w:t>FR: TF 1C 469/2010 du 21 février 2011</w:t>
      </w:r>
    </w:p>
    <w:p>
      <w:r>
        <w:t>IT: TF 1C 469/2010 del 21 febbraio 2011</w:t>
      </w:r>
    </w:p>
    <w:p>
      <w:pPr>
        <w:pStyle w:val="Heading2"/>
      </w:pPr>
      <w:r>
        <w:t>Regeste</w:t>
      </w:r>
    </w:p>
    <w:p>
      <w:r>
        <w:t>annulation de la naturalisation facilitée | Droit de cité et droit des étrangers</w:t>
      </w:r>
    </w:p>
    <w:p>
      <w:pPr>
        <w:pStyle w:val="Heading2"/>
      </w:pPr>
      <w:r>
        <w:t>Erwägungen</w:t>
      </w:r>
    </w:p>
    <w:p>
      <w:r>
        <w:rPr>
          <w:b/>
        </w:rPr>
        <w:t>E. 1.1</w:t>
      </w:r>
    </w:p>
    <w:p>
      <w:r>
        <w:t>Le recourant procède en allemand. L'exigence de l' art. 42 al. 1 LTF , selon lequel les mémoires destinés au Tribunal fédéral doivent être rédigés dans une langue officielle, est respectée. Cette seule circonstance n'impose toutefois pas de déroger à la règle selon laquelle la langue de la procédure est généralement celle de la décision attaquée ( art. 54 al. 1 LTF ), soit, en l'occurrence, le français.</w:t>
      </w:r>
    </w:p>
    <w:p>
      <w:r>
        <w:rPr>
          <w:b/>
        </w:rPr>
        <w:t>E. 1.2</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naturalisation facilitée et non pas de naturalisation ordinaire. Il ne fait pas de doute que le recourant est particulièrement atteint par la décision attaquée et qu'il possède la qualité pour recourir au sens de l' art. 89 al. 1 LTF . Pour le surplus, les conditions formelles de recevabilité sont remplies de sorte qu'il y a lieu d'entrer en matière.</w:t>
      </w:r>
    </w:p>
    <w:p>
      <w:r>
        <w:rPr>
          <w:b/>
        </w:rPr>
        <w:t>E. 2</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 ces constatations de fait, il doit expliquer de manière circonstanciée en quoi les conditions de l' art. 105 al. 2 LTF seraient réalisées et rendre vraisemblable que la correction du vice serait susceptible d'influer sur le sort de la cause (cf. art. 97 al. 1 LTF ). A ce défaut, un état de fait divergent de celui de la décision attaquée ne peut être pris en compte.</w:t>
      </w:r>
    </w:p>
    <w:p>
      <w:r>
        <w:rPr>
          <w:b/>
        </w:rPr>
        <w:t>E. 2.1</w:t>
      </w:r>
    </w:p>
    <w:p>
      <w:r>
        <w:t>Le recourant fait valoir que le Tribunal administratif fédéral a constaté de manière erronée qu'il aurait séjourné cinq mois en Guinée avant son mariage avec son actuelle épouse. Or, la durée de ce séjour était de cinq semaines seulement. Dans ses déterminations du 2 novembre 2010, ledit Tribunal reconnaît qu'il s'agit d'une malencontreuse erreur de plume. L'état de fait peut donc être rectifié sur ce point.</w:t>
      </w:r>
    </w:p>
    <w:p>
      <w:r>
        <w:rPr>
          <w:b/>
        </w:rPr>
        <w:t>E. 2.2</w:t>
      </w:r>
    </w:p>
    <w:p>
      <w:r>
        <w:t>A plusieurs reprises dans son mémoire, le recourant insiste sur le fait qu'il est devenu le parrain du neveu de son ex-épouse le 15 octobre 2005. Ceci ne ressort toutefois ni de l'arrêt attaqué, ni de la décision de l'Office fédéral du 20 août 2008. Allégué semble-t-il pour la première fois en procédure fédérale, ce fait a valeur de nova et n'a pas à être pris en considération (cf. art. 99 al. 1 LTF ). Quoi qu'il en soit, cette précision a un caractère anecdotique et n'est pas de nature à changer de manière décisive le regard qu'il y a lieu de porter sur le cas. Le Tribunal fédéral est par conséquent lié par les faits constatés souverainement par le Tribunal administratif fédéral.</w:t>
      </w:r>
    </w:p>
    <w:p>
      <w:r>
        <w:rPr>
          <w:b/>
        </w:rPr>
        <w:t>E. 3</w:t>
      </w:r>
    </w:p>
    <w:p>
      <w:r>
        <w:t>Conformément aux art. 41 al. 1 de la loi fédérale du 29 septembre 1952 sur l'acquisition et la perte de la nationalité suisse (LN; RS 141.0)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3.1</w:t>
      </w:r>
    </w:p>
    <w:p>
      <w:r>
        <w:t>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rPr>
          <w:b/>
        </w:rPr>
        <w:t>E. 3.2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s.), mais encore dans son propre intérêt, de renverser cette présomption ( ATF 130 II 482 consid. 3.2 p. 485 s.).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 ATF 135 II 161 consid. 3 p. 165 s.; arrêt 5A.12/2006 du 23 août 2006 consid. 2.3 et les arrêts cités).</w:t>
      </w:r>
    </w:p>
    <w:p>
      <w:r>
        <w:rPr>
          <w:b/>
        </w:rPr>
        <w:t>E. 4</w:t>
      </w:r>
    </w:p>
    <w:p>
      <w:r>
        <w:t>Dans le cas particulier, le Tribunal administratif fédéral a relevé que le très court laps de temps entre la déclaration commune (22 mars 2005), l'octroi de la naturalisation facilitée (28 avril 2005) et la séparation de fait des époux (30 avril 2005), ayant conduit à la demande de divorce, tendait à confirmer que le couple n'envisageait déjà plus une vie future partagée lors de la signature de ladite déclaration. Cette conviction était renforcée par la rapidité avec laquelle le recourant avait entrepris des démarches en vue de se voir conférer la nationalité suisse. Il ressortait ainsi du dossier que, après avoir obtenu une autorisation de séjour liée à son statut d'époux d'une ressortissante suisse dans le courant de l'été 1999, l'intéressé avait déposé une première demande de naturalisation facilitée le 26 février 2002 déjà, soit bien avant l'écoulement du délai quinquennal prévu à l' art. 27 al. 1 let. a LN ; pareil empressement suggérait immanquablement que le recourant avait hâte d'obtenir la naturalisation facilitée rendue possible par son mariage (cf. arrêt 5A.13/2004 du 16 juillet 2004 consid. 3.1). Dans le même ordre d'idée, l'on pouvait relever la précipitation avec laquelle le recourant s'était remarié le 4 janvier 2008, soit deux mois seulement après le prononcé du divorce de sa première épouse le 31 octobre 2007. Le recourant ne conteste aucun de ces éléments, lesquels sont propres à fonder la présomption que sa naturalisation a été obtenue frauduleusement. Il fait certes valoir que le couple qu'il formait avec A.________ était heureux pendant la vie commune, qu'ils avaient des loisirs communs et des projets pour le futur; ces allégués ne permettent toutefois pas d'affaiblir ladite présomption, puisqu'il n'est de toute façon pas contesté que les époux X.________-A.________ se sont mariés dans le but premier de fonder une communauté conjugale.</w:t>
      </w:r>
    </w:p>
    <w:p>
      <w:r>
        <w:rPr>
          <w:b/>
        </w:rPr>
        <w:t>E. 5</w:t>
      </w:r>
    </w:p>
    <w:p>
      <w:r>
        <w:t>Selon la jurisprudence précitée, il incombait dès lors au recourant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 Le recourant allègue qu'il a tout d'abord été choqué que son épouse quitte le domicile conjugal. Il avait certes remarqué que celle-ci était insatisfaite ("Unzufriedenheit"), mais il pensait que c'était à cause des problèmes liés à son travail. Les époux croyaient cependant encore à leur mariage, puisqu'ils ont continué de se voir malgré la séparation. Comme l'a relevé le Tribunal administratif fédéral, il n'est pas vraisemblable que ladite insatisfaction ait été de nature à provoquer, à elle seule, la désunion du couple dans le laps de temps de quelques mois qui sépare la décision de naturalisation facilitée (28 avril 2005) et la séparation effective intervenue fin 2005. Il ne s'agit manifestement pas d'un événement extraordinaire, qui serait survenu de manière inattendue et subite, précisément quelques mois après l'obtention de la nationalité suisse. Les éventuelles difficultés qui peuvent surgir entre époux, après plusieurs années de vie commune, dans une communauté de vie effective, intacte et stable, n'entraînent en effet la désunion, selon l'expérience générale, qu'au terme d'un processus prolongé de dégradation des rapports conjugaux, en principe entrecoupés de tentatives de réconciliation (cf. arrêt 5A.11/2006 du 27 juin 2006 consid. 4.1 et arrêt 5A.18/2003 du 19 novembre 2003 consid. 2.2). Or, aucune trace d'éventuels efforts entrepris pour sauver l'union conjugale ne ressort du dossier, et cela bien que l'épouse fût suivie par une psychologue. A ce propos, l'affirmation du recourant selon laquelle la séparation devait justement permettre au couple de trouver une solution pour poursuivre leur mariage est peu convainquante. Enfin, l'intéressé soutient que la détérioration de leur union aurait été précipitée en septembre 2005, lorsque son ex-épouse aurait rencontré son compagnon actuel. Ce motif de la rupture conjugale a été invoqué par le recourant au stade de la procédure de recours devant le Tribunal administratif fédéral seulement et est en contradiction avec les propos tenus par son ex-épouse, laquelle n'a jamais fait aucune allusion à une quelconque rencontre avec un tiers qui aurait précipité le couple vers la rupture. Elle aurait au contraire affirmé, lors de son audition du 23 août 2006, que les difficultés conjugales, survenues à partir de l'année 2003, étaient dues aux horaires de travail irréguliers de son époux. Dans ces circonstances, il apparaît que le recourant n'a pas réussi à rendre vraisemblable la survenance d'un événement extraordinaire susceptible d'expliquer une dégradation aussi rapide du lien conjugal et que les éléments avancés ne permettent pas de renverser la présomption établie. Il en découle que les conditions d'application de l' art. 41 LN sont remplies et que le Tribunal administratif fédéral n'a pas abusé de son pouvoir d'appréciation en confirmant l'annulation de la naturalisation facilité octroyée au recourant.</w:t>
      </w:r>
    </w:p>
    <w:p>
      <w:r>
        <w:rPr>
          <w:b/>
        </w:rPr>
        <w:t>E. 6</w:t>
      </w:r>
    </w:p>
    <w:p>
      <w:r>
        <w:t>Les considérants qui précèdent conduisent au rejet du recours. Les conclusions du recourant étaient dénuées de toute chance de succès, de sorte qu'il convient de lui refuser l'assistance judiciaire, sans qu'il y ait lieu d'examiner si la condition de l'indigence était réalisée ( art. 64 al. 1 LTF ). Succombant, le recourant doit donc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