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1C_468/2023 vom 25. September 2023</w:t>
      </w:r>
    </w:p>
    <w:p>
      <w:r>
        <w:t>Bundesgericht, 2023-09-25, DE</w:t>
      </w:r>
    </w:p>
    <w:p>
      <w:r>
        <w:rPr>
          <w:b/>
        </w:rPr>
        <w:t xml:space="preserve">Quelle: </w:t>
      </w:r>
      <w:r>
        <w:t>https://mcp.opencaselaw.ch/entscheid/bger_1C_468_2023</w:t>
      </w:r>
    </w:p>
    <w:p>
      <w:r>
        <w:t>FR: TF 1C_468/2023 du 25 septembre 2023</w:t>
      </w:r>
    </w:p>
    <w:p>
      <w:r>
        <w:t>IT: TF 1C_468/2023 del 25 settembre 2023</w:t>
      </w:r>
    </w:p>
    <w:p>
      <w:pPr>
        <w:pStyle w:val="Heading2"/>
      </w:pPr>
      <w:r>
        <w:t>Erwägungen</w:t>
      </w:r>
    </w:p>
    <w:p>
      <w:r>
        <w:rPr>
          <w:b/>
        </w:rPr>
        <w:t>E. 1</w:t>
      </w:r>
    </w:p>
    <w:p>
      <w:r>
        <w:t>A.________ erstattete am 1. Februar 2023 bei der Bundesanwaltschaft Strafanzeige gegen B.________, C.________ und weitere, nicht namentlich bekannte Personen der Abteilung Soziales der Gemeinde Wallisellen sowie gegen die bearbeitende Amtsperson in der Notrufzentrale und die Kantonspolizei Zürich, namentlich die Polizisten D.________, E.________, F.________ und G.________. Die Bundesanwaltschaft leitete die Anzeige an die Oberstaatsanwaltschaft des Kantons Zürich weiter. In der Folge übernahm die Staatsanwaltschaft Winterthur/Unterland das Verfahren. Mit Verfügung vom 16. März 2023 überwies sie die Akten auf dem Dienstweg an das Obergericht des Kantons Zürich zum Entscheid über die Ermächtigung zur Durchführung einer Strafuntersuchung. Sie beantragte, die Ermächtigung nicht zu erteilen, da nach summarischer Prüfung der Strafanzeige kein deliktsrelevanter Verdacht vorliege. Mit Beschluss vom 27. Juni 2023 verweigerte das Obergericht die Erteilung der Ermächtigung.</w:t>
      </w:r>
    </w:p>
    <w:p>
      <w:r>
        <w:rPr>
          <w:b/>
        </w:rPr>
        <w:t>E. 2</w:t>
      </w:r>
    </w:p>
    <w:p>
      <w:r>
        <w:t>Mit Eingabe vom 11. September 2023 erhebt A.________ gegen den Beschluss des Obergerichts Beschwerde beim Bundesgericht.</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Die Vorinstanz ist im angefochtenen Entscheid auf die Vorwürfe des Beschwerdeführers in der Strafanzeige vom 1. Februar 2023 eingegangen und zum Schluss gelangt, es bestünden keine genügenden Anhaltspunkte für eine strafbare Handlung der angezeigten Personen. Die Strafanzeige erweise sich als offensichtlich und klarerweise unbegründet. Der Beschwerdeführer setzt sich in seiner ausschweifenden Beschwerdebegründung nicht näher und sachgerecht mit den vorinstanzlichen Erwägungen auseinander. Er legt nicht im Einzelnen und konkret dar, inwiefern die Begründung der Vorinstanz bzw. deren Entscheid selbst Recht im Sinne von Art. 42 Abs. 1 BGG verletzen soll. Seine im Kern appellatorische und im Ton teilweise verfehlte Beschwerde genügt den gesetzlichen Formerfordernissen offensichtlich nicht, weshalb im vereinfachten Verfahren nach Art. 108 Abs. 1 BGG nicht darauf einzutreten ist.</w:t>
      </w:r>
    </w:p>
    <w:p>
      <w:r>
        <w:rPr>
          <w:b/>
        </w:rPr>
        <w:t>E. 4</w:t>
      </w:r>
    </w:p>
    <w:p>
      <w:r>
        <w:t>Angesichts der Aussichtslosigkeit der Beschwerde ist dem Gesuch um unentgeltliche Rechtspflege des Beschwerdeführers nicht zu entsprechen ( Art. 64 BGG ). Indessen ist davon abzusehen, für das bundesgerichtliche Verfahren Kosten zu erheben.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