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1C_468/2020 vom 30. Oktober 2020</w:t>
      </w:r>
    </w:p>
    <w:p>
      <w:r>
        <w:t>Bundesgericht, 2020-10-30, FR</w:t>
      </w:r>
    </w:p>
    <w:p>
      <w:r>
        <w:rPr>
          <w:b/>
        </w:rPr>
        <w:t xml:space="preserve">Quelle: </w:t>
      </w:r>
      <w:r>
        <w:t>https://mcp.opencaselaw.ch/entscheid/bger_1C_468_2020</w:t>
      </w:r>
    </w:p>
    <w:p>
      <w:r>
        <w:t>FR: TF 1C_468/2020 du 30 octobre 2020</w:t>
      </w:r>
    </w:p>
    <w:p>
      <w:r>
        <w:t>IT: TF 1C_468/2020 del 30 ottobre 2020</w:t>
      </w:r>
    </w:p>
    <w:p>
      <w:pPr>
        <w:pStyle w:val="Heading2"/>
      </w:pPr>
      <w:r>
        <w:t>Erwägungen</w:t>
      </w:r>
    </w:p>
    <w:p>
      <w:r>
        <w:rPr>
          <w:b/>
        </w:rPr>
        <w:t>E. 1</w:t>
      </w:r>
    </w:p>
    <w:p>
      <w:r>
        <w:t>Le 15 mars 2019, A.________ a fait l'objet d'un rapport de dénonciation de la part de la Police cantonale fribourgeoise pour avoir franchi la veille, vers 23h00, à Montilier, une ligne de sécurité et ne pas avoir respecté le signal " Obstacle à contourner par la droite ".</w:t>
      </w:r>
    </w:p>
    <w:p>
      <w:r>
        <w:t>Le 18 avril 2019, l'Office de la circulation routière et de la navigation du canton de Berne a informé A.________ qu'il ouvrait une procédure administrative à l'encontre de celui-ci à raison de ces faits et qu'il attendrait l'issue de la procédure pénale avant de prendre sa décision. Il l'a en outre rendu attentif au fait qu'il devait présenter ses éventuelles objections et ses arguments à décharge par rapport aux faits reprochés dans le cadre de la procédure pénale, pour autant que cette dernière ne soit pas déjà close par une décision entrée en force.</w:t>
      </w:r>
    </w:p>
    <w:p>
      <w:r>
        <w:t>Par ordonnance pénale du 1</w:t>
      </w:r>
    </w:p>
    <w:p>
      <w:r>
        <w:t>er mai 2019, la Lieutenante du Préfet du district du Lac a infligé une amende de 250 francs à A.________ pour avoir franchi une ligne de sécurité, ne pas avoir respecté le signal " Obstacle à contourner par la droite " et ne pas avoir été en mesure de produire son permis de conduire.</w:t>
      </w:r>
    </w:p>
    <w:p>
      <w:r>
        <w:t>Par décision du 11 juin 2019, l'Office de la circulation routière et de la navigation a retiré le permis de conduire de A.________ pour une durée de deux mois en raison des faits survenus le 15 mars 2019.</w:t>
      </w:r>
    </w:p>
    <w:p>
      <w:r>
        <w:t>Le 8 juillet 2019, A.________ a recouru contre cette décision auprès de la Commission de recours du canton de Berne contre les mesures LCR au motif que l'auteur des infractions était son frère B.________ selon une lettre adressée le même jour par celui-ci à l'Office de la circulation routière et de la navigation.</w:t>
      </w:r>
    </w:p>
    <w:p>
      <w:r>
        <w:t>La Commission de recours a rejeté le recours au terme d'un jugement rendu le 20 novembre 2019 et notifié le 31 juillet 2020 que A.________ a déféré auprès du Tribunal fédéral par acte du 6 septembre 2020 en concluant à son annulation et au renvoi de la cause pour nouveau jugement.</w:t>
      </w:r>
    </w:p>
    <w:p>
      <w:r>
        <w:t>Il n'a pas été ordonné d'échange d'écritures. La Commission de recours a produit le dossier de la cause.</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de conduire. Le recourant a pris part à la procédure de recours devant la Commission de recours; il est particulièrement atteint par la décision attaquée, qui confirme le retrait de son permis de conduire pour une durée de deux mois; il a un intérêt digne de protection à son annulation. Il a donc qualité pour recourir au sens de l' art. 89 al. 1 LTF . Le recours a au surplus été déposé en temps utile ( art. 100 al. 1 LTF ).</w:t>
      </w:r>
    </w:p>
    <w:p>
      <w:r>
        <w:rPr>
          <w:b/>
        </w:rPr>
        <w:t>E. 3</w:t>
      </w:r>
    </w:p>
    <w:p>
      <w:r>
        <w:t>A.________ recourt contre la mesure de retrait de son permis de conduire car il n'est pas l'auteur de l'infraction qui lui est reprochée. Son frère, qui était au volant lors du contrôle de police, n'aurait pas décliné sa véritable identité parce qu'il était sous le coup d'un retrait de son permis de conduire.</w:t>
      </w:r>
    </w:p>
    <w:p>
      <w:r>
        <w:t>Comme l'a relevé la Commission de recours, l'autorité administrative statuant sur un retrait du permis de conduire ne peut en principe pas s'écarter des constatations de fait d'un jugement pénal entré en force sauf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 ATF 123 II 97 consid. 3c/aa p. 104; arrêt 1C_470/2019 du 31 janvier 2020 consid. 5.1.2).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arrêt 1C_305/2020 du 24 août 2020 consid. 3.2).</w:t>
      </w:r>
    </w:p>
    <w:p>
      <w:r>
        <w:t>Le recourant a invoqué pour la première fois devant la Commission de recours le fait qu'il n'était pas l'auteur de l'infraction aux règles de la circulation routière à l'origine de son retrait du permis de conduire alors qu'il avait été expressément rendu attentif par l'Office de la circulation routière et de la navigation à la nécessité de présenter ses objections et ses arguments à décharge dans le cadre de la procédure pénale s'il entendait contester les faits reprochés. C'est ainsi en pleine connaissance de cause qu'il a accepté sa condamnation pénale avant de revenir sur ce point devant l'autorité administrative en invoquant à sa décharge le fait que son frère était l'auteur de l'infraction. Un tel comportement est contraire aux règles de la bonne foi, indépendamment des conséquences pénales qu'il pourrait susciter, et ne mérite pas protection. Il dispensait la Commission de recours d'entreprendre des investigations complémentaires pour vérifier si les allégations nouvelles étaient conformes à la vérité. Il n'y a pas davantage lieu d'examiner si elles étaient de nature à justifier de la part de l'Office de la circulation routière et de la navigation une reconsidération de sa décision de retrait du permis de conduire.</w:t>
      </w:r>
    </w:p>
    <w:p>
      <w:r>
        <w:t>Pour le surplus, le recourant ne s'en prend ni à la qualification de l'infraction, ni à la durée du retrait de permis prononcé à son encontre. En l'absence de tout grief à ce propos, il n'y a pas lieu d'examiner d'office si la mesure administrative prononcée à son encontre est, sur ces différents points, conforme au droit fédéral (cf. art. 106 al. 2 LTF ).</w:t>
      </w:r>
    </w:p>
    <w:p>
      <w:r>
        <w:rPr>
          <w:b/>
        </w:rPr>
        <w:t>E. 4</w:t>
      </w:r>
    </w:p>
    <w:p>
      <w:r>
        <w:t>Il s'ensuit que le recours doit être rejeté dans la mesure où il est recevable, selon la procédure simplifiée prévue par l' art. 109 al. 2 let. a LTF , ce qui rend sans objet la requête d'effet suspensif présentée par le recourant. L'issue du recours étant prévisible, la demande d'assistance judiciaire doit être rejetée ( art. 64 al. 1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