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467/2023 vom 26. März 2024</w:t>
      </w:r>
    </w:p>
    <w:p>
      <w:r>
        <w:t>Bundesgericht, 2024-03-26, FR</w:t>
      </w:r>
    </w:p>
    <w:p>
      <w:r>
        <w:rPr>
          <w:b/>
        </w:rPr>
        <w:t xml:space="preserve">Quelle: </w:t>
      </w:r>
      <w:r>
        <w:t>https://mcp.opencaselaw.ch/entscheid/bger_1C_467_2023</w:t>
      </w:r>
    </w:p>
    <w:p>
      <w:r>
        <w:t>FR: TF 1C 467/2023 du 26 mars 2024</w:t>
      </w:r>
    </w:p>
    <w:p>
      <w:r>
        <w:t>IT: TF 1C 467/2023 del 26 marzo 2024</w:t>
      </w:r>
    </w:p>
    <w:p>
      <w:pPr>
        <w:pStyle w:val="Heading2"/>
      </w:pPr>
      <w:r>
        <w:t>Regeste</w:t>
      </w:r>
    </w:p>
    <w:p>
      <w:r>
        <w:t>Droit de la fonction publique; traitement | Fonction publique</w:t>
      </w:r>
    </w:p>
    <w:p>
      <w:pPr>
        <w:pStyle w:val="Heading2"/>
      </w:pPr>
      <w:r>
        <w:t>Erwägungen</w:t>
      </w:r>
    </w:p>
    <w:p>
      <w:r>
        <w:rPr>
          <w:b/>
        </w:rPr>
        <w:t>E. 1</w:t>
      </w:r>
    </w:p>
    <w:p>
      <w:r>
        <w:t>Dirigé contre une décision finale ( art. 90 LTF ) prise en dernière instance cantonale ( art. 86 al. 1 let . d LTF) dans le domaine des rapports de travail de droit public ( art. 82 let. a LTF ), le recours est en principe recevable comme recours en matière de droit public conformément aux art. 82 ss LTF . S'agissant d'une contestation pécuniaire, le motif d'exclusion du recours en matière de droit public prévu par l' art. 83 let . g LTF ne s'applique pas. L'arrêt attaqué ne mentionne pas la valeur litigieuse, contrairement à ce que prescrit l' art. 112 al. 1 let . d LTF. Il ressort cependant du dossier - et n'est pas contesté - que celle-ci dépasse le seuil de 15'000 francs ouvrant la voie du recours en matière de droit public en ce domaine (art. 51 al. 2 et 85 al. 1 let. b LTF). La recourante a pris part à la procédure devant l'autorité précédente ( art. 89 al. 1 let. a LTF ). Elle a pour but statutaire la défense des intérêts dignes de protection de ses membres; ces intérêts sont communs à la majorité ou au moins à un grand nombre d'entre eux et chacun de ceux-ci a qualité pour s'en prévaloir à titre individuel ( ATF 145 V 128 consid. 2.2). Elle est ainsi particulièrement atteinte par la décision entreprise et a un intérêt digne de protection à son annulation ou à sa modification (art. 89 al. 1 let. b et c LTF), de sorte qu'elle a la qualité pour recourir. Pour le surplus, déposé en temps utile et dans les formes requises, le recours en matière de droit public est recevable au regard des art. 42 et 100 al. 1 LTF .</w:t>
      </w:r>
    </w:p>
    <w:p>
      <w:r>
        <w:rPr>
          <w:b/>
        </w:rPr>
        <w:t>E. 2</w:t>
      </w:r>
    </w:p>
    <w:p>
      <w:r>
        <w:t>Dans un grief d'ordre formel qu'il convient d'examiner en premier lieu, la recourante reproche à la Cour de justice d'avoir refusé de donner suite à sa demande tendant à ce qu'une audience publique soit tenue. Elle fait valoir que la présente affaire porte sur une problématique ayant abouti à la perte d'annuités pour l'ensemble de ses membres dans un contexte particulier puisqu'elle fait suite à un long combat judiciaire mené concernant la réévaluation de la fonction de MEP. Elle se plaint d'une violation de son droit d'être entendue et du droit à une audience publique au sens des art. 29 al. 2 Cst. et 6 § 1 CEDH .</w:t>
      </w:r>
    </w:p>
    <w:p>
      <w:r>
        <w:rPr>
          <w:b/>
        </w:rPr>
        <w:t>E. 2.1</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Grzeda contre Pologne du 15 mars 2022 § 261; arrêt 8D_3/2023 du 11 octobre 2023 consid. 3.2).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 Mutu et Pechstein contre Suisse du 2 octobre 2018 § 177).</w:t>
      </w:r>
    </w:p>
    <w:p>
      <w:r>
        <w:rPr>
          <w:b/>
        </w:rPr>
        <w:t>E. 2.2</w:t>
      </w:r>
    </w:p>
    <w:p>
      <w:r>
        <w:t>En l'espèce, la cour cantonale a considéré que l'objet du litige portait sur une question juridique, qui n'apparaissait pas particulièrement complexe, dans une affaire ne soulevant pas de question de crédibilité et ne suscitant pas de controverse sur les faits. Elle a aussi rappelé que le recourant avait eu l'occasion, au cours de la procédure cantonale, de faire valoir ses arguments et de produire des pièces tant dans le cadre de son recours que de sa réplique. Les juges cantonaux ont dès lors estimé que le litige n'exigeait pas la tenue d'une audience publique. Le litige dont était saisi la Cour de justice portait sur la question de savoir si la méthode de calcul du salaire en cas de réévaluation d'une fonction était fondée. Les faits n'étaient pas contestés. Les griefs soulevés par la recourante avaient trait à la violation de son droit d'être entendue, des principes de la légalité, de la séparation des pouvoirs et de l'égalité de traitement. Il s'agit de questions de droit ne suscitant pas de controverse quant aux faits de nature à requérir une audience; la juridiction cantonale pouvait ainsi se prononcer de manière équitable et raisonnable sur la base des conclusions présentées par les parties et des pièces du dossier. La recourante n'explique par ailleurs pas en quoi son audition serait de nature à apporter des éléments nouveaux. Dans ces circonstances particulières, le prononcé de l'arrêt attaqué sans tenue d'une audience publique ne viole pas l'art. 6 § 1 CEDH .</w:t>
      </w:r>
    </w:p>
    <w:p>
      <w:r>
        <w:rPr>
          <w:b/>
        </w:rPr>
        <w:t>E. 3</w:t>
      </w:r>
    </w:p>
    <w:p>
      <w:r>
        <w:t>La recourante se plaint ensuite d'une violation arbitraire du principe de la séparation des pouvoirs (art. 130 de la Constitution du canton de Genève du 14 octobre 2012 [Cst-GE; RS 131.234]) et de la légalité ( art. 5 al. 1 Cst. ) en lien avec une application arbitraire des art. 13 la loi genevoise du 21 décembre 1973 concernant le traitement et les diverses prestations alloués aux membres du personnel de l'Etat, du pouvoir judiciaire et des établissements hospitaliers (LTrait; RSG B 5 15) et de l'art. 8 al. 4 du règlement d'application du 17 octobre 1979 de la LTrait (RTrait; RSG B 5 15.01). Elle prétend que la méthode de calcul dite de coulissement serait illicite.</w:t>
      </w:r>
    </w:p>
    <w:p>
      <w:r>
        <w:rPr>
          <w:b/>
        </w:rPr>
        <w:t>E. 3.1</w:t>
      </w:r>
    </w:p>
    <w:p>
      <w:r>
        <w:t>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 La fiche 02.02.01 du Mémento des instructions de l'Office du personnel de l'Etat (MIOPE), intitulée "Fixation du traitement en cas de promotion + formules à utiliser", publiée le 20 février 2013, prévoit au chiffre 2.5, intitulé "Réévaluation de la fonction existante",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w:t>
      </w:r>
    </w:p>
    <w:p>
      <w:r>
        <w:rPr>
          <w:b/>
        </w:rPr>
        <w:t>E. 3.2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3.3</w:t>
      </w:r>
    </w:p>
    <w:p>
      <w:r>
        <w:t>En l'espèce, la modification du traitement salarial des membres de la recourante ne fait pas suite à un changement des tâches exercées, mais à une réévaluation de la fonction de MEP, menée pour toutes les personnes occupant la même fonction. Il n'est pas contesté qu'aucune disposition légale et réglementaire ne traite de la manière de fixer le nouveau salaire à la suite d'une procédure de réévaluation.</w:t>
      </w:r>
    </w:p>
    <w:p>
      <w:r>
        <w:rPr>
          <w:b/>
        </w:rPr>
        <w:t>E. 3.3.1</w:t>
      </w:r>
    </w:p>
    <w:p>
      <w:r>
        <w:t>Après avoir rappelé que le législateur genevois n'avait pas réglé la manière de fixer le traitement des membres du personnel dont la fonction avait été réévaluée après leur engagement et qui avaient alors été positionnés dans une classe supérieure, la cour cantonale s'est fondée sur la jurisprudence cantonale, selon laquelle lorsque la réévaluation d'une fonction donnait lieu à une nouvelle collocation dans une classe supérieure, le nouveau traitement était fixé selon les dispositions légales applicables à la promotion, soit selon l'art. 8 al. 4 RTrait qui prévoit en particulier le système du coulissement. La Cour de justice a relevé que cela correspondait à la solution retenue par le MIOPE, qui consiste à appliquer la méthode prévue par le RTrait en cas de mutation à une nouvelle fonction de classe supérieure (promotion). Elle a jugé que cette méthode de calcul n'était contraire à aucune disposition et n'apparaissait pas critiquable, compte tenu notamment du pouvoir d'appréciation dont dispose l'autorité en matière de rémunération.</w:t>
      </w:r>
    </w:p>
    <w:p>
      <w:r>
        <w:rPr>
          <w:b/>
        </w:rPr>
        <w:t>E. 3.3.2</w:t>
      </w:r>
    </w:p>
    <w:p>
      <w:r>
        <w:t>La recourante fait valoir que la fiche MIOPE, simple ordonnance administrative, ne dispose pas d'une densité normative suffisante pour être utilisée comme base légale pour fixer un traitement dans le cas d'une réévaluation de fonction. Cette fiche est en effet une ordonnance administrative qui réunit les directives précisant les pratiques communes dans l'application des lois et des règlements relatifs au personnel de l'État. Elle n'a pas force de loi et ne lie ni le Tribunal fédéral ni les autres autorités d'application du droit. Le juge peut s'en écarter s'il l'estime contraire à la loi ou à une ordonnance. En revanche, si cette information permet une application correcte des dispositions légales dans le cas d'espèce, il y a lieu d'en tenir compte (arrêt 1C_399/2023 du 25 août 2023 consid. 4, destiné à publication; ATF 142 II 182 consid. 2.3.2). C'est dans cette mesure que la cour cantonale a pris en considération cette ordonnance administrative, de sorte que le grief de violation des principes de la légalité et de la séparation des pouvoirs doit être écarté.</w:t>
      </w:r>
    </w:p>
    <w:p>
      <w:r>
        <w:rPr>
          <w:b/>
        </w:rPr>
        <w:t>E. 3.3.3</w:t>
      </w:r>
    </w:p>
    <w:p>
      <w:r>
        <w:t>Quant à la méthode de calcul du nouveau traitement après une réévaluation de la fonction, le simple fait que la recourante estime que ses membres devraient bénéficier d'une autre méthode de calcul du traitement ne suffit pas à démontrer que la méthode retenue serait arbitraire. Le raisonnement de l'instance précédente n'a pas été adopté sans motifs objectifs. En effet, la cour cantonale pouvait de manière soutenable juger que le fonctionnaire voyant sa fonction être réévaluée dans une classe supérieure (sans aucune modification de son activité) devait être traité de la même manière que le fonctionnaire promu. Il n'y a là aucune application arbitraire de la LTrait et du RTrait. Il n'est pas non plus insoutenable de considérer que la fiche MIOPE permet une application correcte des dispositions précitées, ce d'autant moins que l'autorité dispose d'une marge d'appréciation en matière de rémunération et que le Tribunal fédéral s'impose une retenue. La particularité en l'espèce est que le traitement de certains membres de la recourante a subi une diminution par rapport à la décision du 19 août 2020 du Conseil d'État positionnant les MEP en classe 18; le traitement avait alors été fixé sans que la méthode du coulissement ne soit appliquée. Cette décision du Conseil d'État a cependant été annulée par l'arrêt de la Cour de justice du 20 avril 2021 considérant qu'il fallait retenir la classe de traitement 19 pour les MEP. La cour cantonale a jugé à cet égard que le DIP était fondé à déterminer le nouveau traitement en tenant compte de la jurisprudence cantonale rendue dans l'intervalle et à coulisser le traitement de la classe 17, à la classe 19. Cette manière de faire, conforme au MIOPE ainsi qu'aux dispositions légales auxquelles il renvoie et notamment à l'art. 8 al. 4 let. b RTrait, n'est pas arbitraire. Au demeurant, la classe de fonction a été réévaluée de 17 à 19, ce qui signifie que le traitement des membres de la recourante a connu une augmentation selon l'art. 8 al. 4 let. b RTrait et connaîtra une nette augmentation sur l'ensemble de leur carrière, sans que leur cahier des charges n'ait été modifié.</w:t>
      </w:r>
    </w:p>
    <w:p>
      <w:r>
        <w:rPr>
          <w:b/>
        </w:rPr>
        <w:t>E. 4</w:t>
      </w:r>
    </w:p>
    <w:p>
      <w:r>
        <w:t>La recourante se prévaut ensuite d'une violation du principe de l'égalité de traitement ( art. 8 Cst. ) entre les membres du personnel déjà engagés au moment de la réévaluation et les personnes nouvellement engagées à la même fonction.</w:t>
      </w:r>
    </w:p>
    <w:p>
      <w:r>
        <w:rPr>
          <w:b/>
        </w:rPr>
        <w:t>E. 4.1</w:t>
      </w:r>
    </w:p>
    <w:p>
      <w:r>
        <w:t>Selon l' art. 8 Cst. ,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rPr>
          <w:b/>
        </w:rPr>
        <w:t>E. 4.2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141 II 411 consid. 6.1.1). D'autres circonstances, qui n'ont pas trait à la personne ou à l'activité du travailleur, peuvent aussi justifier, à tout le moins temporairement, des différences de salaire, telles une situation conjoncturelle rendant plus difficile le recrutement du personnel ou des contraintes budgétaires de la collectivité publique (arrêt 8C_969/2012 du 2 avril 2013 consid. 2.2 et les références citées).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par exemple l'âge, l'ancienneté, l'expérience, les qualifications ou la durée de formation pour le poste ( ATF 143 I 65 et 141 II 411 précités). Dans ce cadre, des conditions de travail plus favorables réservées au personnel nouvellement engagé sont admissibles pour autant que la différence de traitement qui en découle par rapport au personnel engagé précédemment reste dans des limites acceptables. C'est ainsi qu'une réglementation prévoyant une classification plus favorable pour le personnel nouvellement engagé a été jugée acceptable dans la mesure où elle entraînait une différence de salaire de l'ordre de 100 fr. par mois. Dans une autre affaire (arrêt 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 et 7,5 % durant plusieurs années). Le caractère temporaire d'une inégalité de traitement relative au système salarial fait partie des circonstances concrètes au regard desquelles il convient d'examiner si une différence de traitement salarial dépasse ou non le cadre admissible (arrêts 8C_504/2020 du 24 juin 2021 consid. 4.2.2; 8C_732/2015 du 14 septembre 2016 consid. 4.2; 8C_969/2012 du 2 avril 2013 consid. 3.2.2; 2P.222/2003 du 6 février 2004 consid. 4.7 et 4.8, où une différence comprise entre 8,3 % et 15,4 % sur une période de cinq ans a été jugée encore admissible).</w:t>
      </w:r>
    </w:p>
    <w:p>
      <w:r>
        <w:rPr>
          <w:b/>
        </w:rPr>
        <w:t>E. 4.3</w:t>
      </w:r>
    </w:p>
    <w:p>
      <w:r>
        <w:t>En l'occurrence, il n'est pas contesté que le traitement initial des membres de la recourante ayant postulé après la réévaluation de la fonction de MEP et ayant pu faire valoir des années d'expérience professionnelle sans avoir travaillé précédemment auprès de l'État de Genève, peut être plus élevé que celui des membres ayant été engagés avant la réévaluation de la fonction de MEP. S'appuyant sur sa jurisprudence, la Cour de justice a jugé qu'il n'y avait pas de violation de l'égalité de traitement, ce raisonnement étant applicable à toutes les fonctions de l'Etat,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Elle a ajouté que ni la LTrait, ni le RTrait, ne prévoyaient que la fixation du traitement des personnes dont la fonction était réévaluée devrait être identique à celle d'employés nouvellement engagés. La recourante soutient qu'une personne nouvellement engagée se verrait immédiatement engagée à l'annuité correspondant réellement à son expérience. Le Conseil d'Etat a constaté à cet égard, dans son arrêté du 23 novembre 2022, en se fondant sur l'échelle des traitement de 2021 que "la différence de traitement entre un membre du personnel nouvellement engagé à expérience égale et [un MEP passé de la classe 17 (niveau 4) à la classe 19 (niveau 3)] est, en moyenne, de 2.49 %". La recourante n'a pas contesté ce pourcentage, qui est admissible au regard de la jurisprudence précitée. S'ajoute à cela que la différence de traitement diminuera car le montant de l'annuité passe de 2'687 francs à 1'014 francs dès le niveau 12 (selon l'échelle des traitements 2021). De plus, il arrive que l'Etat suspende certaines annuités (ce qui est arrivé en 2013, 2015 et 2021). Ainsi, même dans l'hypothèse où la classe de fonction des MEP n'aurait pas été réévaluée, une personne nouvellement engagée disposant de la même formation et expérience, engagée postérieurement aux suspensions d'annuités, aurait pu se voir attribuer plus d'annuités qu'un MEP engagé précédemment. Il peut d'ailleurs aussi arriver que la prise en compte d'années d'expérience professionnelle fasse l'objet de négociations entre les candidats et l'employeur. Pour ces motifs, le grief de la violation du principe de l'égalité de traitement doit être écarté.</w:t>
      </w:r>
    </w:p>
    <w:p>
      <w:r>
        <w:rPr>
          <w:b/>
        </w:rPr>
        <w:t>E. 5</w:t>
      </w:r>
    </w:p>
    <w:p>
      <w:r>
        <w:t>Il s'ensuit que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