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467/2014 vom 20. Juli 2015</w:t>
      </w:r>
    </w:p>
    <w:p>
      <w:r>
        <w:t>Bundesgericht, 2015-07-20, DE</w:t>
      </w:r>
    </w:p>
    <w:p>
      <w:r>
        <w:rPr>
          <w:b/>
        </w:rPr>
        <w:t xml:space="preserve">Quelle: </w:t>
      </w:r>
      <w:r>
        <w:t>https://mcp.opencaselaw.ch/entscheid/bger_1C_467_2014</w:t>
      </w:r>
    </w:p>
    <w:p>
      <w:r>
        <w:t>FR: TF 1C 467/2014 du 20 juillet 2015</w:t>
      </w:r>
    </w:p>
    <w:p>
      <w:r>
        <w:t>IT: TF 1C 467/2014 del 20 luglio 2015</w:t>
      </w:r>
    </w:p>
    <w:p>
      <w:pPr>
        <w:pStyle w:val="Heading2"/>
      </w:pPr>
      <w:r>
        <w:t>Regeste</w:t>
      </w:r>
    </w:p>
    <w:p>
      <w:r>
        <w:t>Rekultivierung der Inertstoffdeponie Bälisteig bzw. Entsorgung von Pressschlamm | Ökologisches Gleichgewicht</w:t>
      </w:r>
    </w:p>
    <w:p>
      <w:pPr>
        <w:pStyle w:val="Heading2"/>
      </w:pPr>
      <w:r>
        <w:t>Erwägungen</w:t>
      </w:r>
    </w:p>
    <w:p>
      <w:r>
        <w:rPr>
          <w:b/>
        </w:rPr>
        <w:t>E. 1</w:t>
      </w:r>
    </w:p>
    <w:p>
      <w:r>
        <w:t>Angefochten ist ein kantonal letztinstanzlicher ( Art. 86 Abs. 1 lit. d BGG ) Entscheid in einer Verwaltungssache und damit in einer öffentlich-rechtlichen Angelegenheit im Sinne von Art. 82 lit. a BGG . Ein Ausschlussgrund nach Art. 83 BGG besteht nicht, womit die Beschwerde in öffentlich-rechtlichen Angelegenheiten gegeben ist. Die vom Verwaltungsgericht geschützte Entsorgungsverfügung schliesst das Verfahren ab, womit es sich um einen Endentscheid im Sinn von Art. 90 BGG handelt, und die Beschwerdeführerin ist als deren Adressatin befugt, ihn anzufechten. Sie rügt die Verletzung von Bundesrecht, was zulässig ist ( Art. 95 lit. a BGG ). Die übrigen Sachurteilsvoraussetzungen geben zu keinen Bemerkungen Anlass, weshalb auf die Beschwerde einzutreten ist.</w:t>
      </w:r>
    </w:p>
    <w:p>
      <w:r>
        <w:rPr>
          <w:b/>
        </w:rPr>
        <w:t>E. 2.1</w:t>
      </w:r>
    </w:p>
    <w:p>
      <w:r>
        <w:t>Unbestritten ist, dass für die Abdeckung der vollen Inertstoffdeponie D.________ nur nachweislich unverschmutztes Material verwendet werden darf. Unverschmutzt heisst in diesem Zusammenhang nach Art. 3 Abs. 7 der Technischen Verordnung über Abfälle (vom 10. Dezember 1990; SR 814.600; TVA), dass die Grenzwerte gemäss Anhang 3 nicht überschritten werden oder die Überschreitung nicht auf menschliche Tätigkeiten zurückzuführen ist. Für aliphatische Kohlenwasserstoffe C10-C40 liegt der Grenzwert bei 50 mg/kg. Art. 10 TVA bestimmt unter dem Titel "Vermischungsverbot": "Inhaber von Abfällen dürfen diese nicht mit andern Abfällen oder mit Zuschlagstoffen vermischen, wenn dies in erster Linie dazu dient, den Schadstoffgehalt der Abfälle durch Verdünnen herabzusetzen, um Vorschriften über die Abgabe, die Verwertung oder die Ablagerung einzuhalten."</w:t>
      </w:r>
    </w:p>
    <w:p>
      <w:r>
        <w:rPr>
          <w:b/>
        </w:rPr>
        <w:t>E. 2.2</w:t>
      </w:r>
    </w:p>
    <w:p>
      <w:r>
        <w:t>Nach der Darstellung der Beschwerdeführerin sind in ihrem Kieswerk bei der Wäsche von Baustellenkies drei Chargen à ca. 160 m3 für die Abdeckung der Deponie D.________ bestimmter Pressschlamm (ein bei der Kieswäsche als Nebenprodukt anfallendes Gemisch aus Sand und Erde) angefallen. Die von ihr veranlassten Analysen hätten für die erste Charge einen Kohlenwasserstoffgehalt von 50 mg/kg ergeben, für die zweite einen solchen von 10 mg/kg und die dritte einen solchen von 21 mg/kg. Die drei Chargen seien daher zum Abtransport freigegeben, in über 40 Lastwagenladungen à 12-16 m3 transportiert und anschliessend als 41 Haufen auf der Deponie abgeladen worden. Aus "unerfindlichen Gründen" habe das AfU ohne ihr Wissen dann Proben entnehmen und analysieren lassen und anschliessend die Entsorgung aller 41 Haufen angeordnet. Sie selbst habe daraufhin die E.________ AG mit einer detaillierten Untersuchung beauftragt. Dabei seien pro Haufen lege artis 12 Einzelproben entnommen und zu einer Sammelprobe vereinigt und anschliessend analysiert worden. Dabei habe sich ergeben, dass bei 33 Sammelproben der Grenzwert vom 50 mg/kg unterschritten sei, wovon bei 8 Sammelproben sogar der minimale Bestimmungswert von 10 mg/kg. Lediglich bei 8 Sammelproben sei der Grenzwert von 50 mg/kg geringfügig überschritten. Der Mittelwert aller 41 Sammelproben liege bei 37 mg/kg, mithin deutlich unter dem Grenzwert von 50 mg/kg. Die zufällige, durch den Transport bedingte Aufteilung der ursprünglich drei Chargen in 41 Lastwagenladungen entsprechende Haufen habe die geringfügige Überschreitung des Grenzwertes bei einzelnen Haufen ermöglicht. Es müsse unter diesen Umständen auf den Durchschnittswert abgestellt werden. Das Vermischungsverbot von Art. 10 TVA stehe dem nicht entgegen: zu einer teilweisen Überschreitung des Grenzwertes bei einzelnen Haufen sei es ja gerade nicht durch Vermischung, sondern durch die "Entmischung" bzw. Aufteilung der drei ursprünglichen Chargen in 41 Haufen gekommen.</w:t>
      </w:r>
    </w:p>
    <w:p>
      <w:r>
        <w:rPr>
          <w:b/>
        </w:rPr>
        <w:t>E. 2.3</w:t>
      </w:r>
    </w:p>
    <w:p>
      <w:r>
        <w:t>Unbestritten ist, dass das für die Abdeckung der Deponie bestimmte Material in drei Chargen angefallen ist. Diese wurden, entgegen der Behauptung der Beschwerdeführerin, vom AfU nie für den Einbau in die Deponieabdeckung freigegeben, wie sich aus dessen Vernehmlassung ans Bundesgericht vom 29. Oktober 2014 (Ziff. 8b S. 4) und der Wiedergabe des E-Mail-Verkehrs zwischen dem AfU, der Beschwerdeführerin, der E.________ AG und der Deponiebetreiberin ergibt. Anschliessend liess die Beschwerdeführerin das Material auf das Deponiegelände transportieren und dort in 41 Haufen ablagern. Für das AfU setzte sich das zu prüfende Material damit aus 41 einzeln ausgeschiedenen Teilen zusammen. Es ist nicht ersichtlich, inwiefern es Bundesrecht verletzt haben könnte, indem es die Schadstoffwerte jedes einzelnen Haufens beurteilte und 33 Haufen für den Einbau in die Deponie freigab und die fachgerechte Entsorgung der 8 übermässig mit Kohlenwasserstoff belasteten Haufen anordnete. Alles für die Rekultivierung der Deponie verwendete Material muss den Grenzwert von 50 mg/kg für Kohlenwasserstoffe C10-C40 einhalten. Eine (rechnerische) Vermischung der Haufen, um den Schadstoffgehalt der Gesamtmenge unter den Grenzwert zu drücken, lässt das Vermischungsverbot von Art. 10 TVA klarerweise nicht zu. Es war im Übrigen die Beschwerdeführerin selbst, die die drei Chargen abtransportieren und in 41 Haufen aufteilen liess, bevor sie vom AfU für die Abdeckung der Deponie freigegeben worden waren. Zumindest bei einer Charge lag dabei, was sie wusste, die Kohlenwasserstoff-Belastung im kritischen Bereich. Da sie nicht davon ausgehen konnte, dass die Schadstoffe in der Charge völlig gleichmässig verteilt waren, musste sie daher damit rechnen, dass bei der Aufteilung dieser Charge in verschiedene Haufen einzelne von ihnen den Grenzwert überschreiten, andere ihn unterschreiten würden. Der möglichst weitgehende Ausschluss von belastetem Material von der Verwendung als Deponieabdeckung ist Voraussetzung für eine erfolgversprechende Rekultivierung und sinnvolle künftige Nutzung des Grundstücks; er liegt damit jedenfalls längerfristig objektiv auch im eigenen Interesse der Beschwerdeführerin, deren Inhaber die Deponie gehört. Die Beschwerde ist unbegründet.</w:t>
      </w:r>
    </w:p>
    <w:p>
      <w:r>
        <w:rPr>
          <w:b/>
        </w:rPr>
        <w:t>E. 3</w:t>
      </w:r>
    </w:p>
    <w:p>
      <w:r>
        <w:t>Die Beschwerde ist abzuweisen. 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