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1C_465/2013 vom 13. Mai 2013</w:t>
      </w:r>
    </w:p>
    <w:p>
      <w:r>
        <w:t>Bundesgericht, 2013-05-13, FR</w:t>
      </w:r>
    </w:p>
    <w:p>
      <w:r>
        <w:rPr>
          <w:b/>
        </w:rPr>
        <w:t xml:space="preserve">Quelle: </w:t>
      </w:r>
      <w:r>
        <w:t>https://mcp.opencaselaw.ch/entscheid/bger_1C_465_2013</w:t>
      </w:r>
    </w:p>
    <w:p>
      <w:r>
        <w:t>FR: TF 1C_465/2013 du 13 mai 2013</w:t>
      </w:r>
    </w:p>
    <w:p>
      <w:r>
        <w:t>IT: TF 1C_465/2013 del 13 maggio 2013</w:t>
      </w:r>
    </w:p>
    <w:p>
      <w:pPr>
        <w:pStyle w:val="Heading2"/>
      </w:pPr>
      <w:r>
        <w:t>Erwägungen</w:t>
      </w:r>
    </w:p>
    <w:p>
      <w:r>
        <w:rPr>
          <w:b/>
        </w:rPr>
        <w:t>E. 1</w:t>
      </w:r>
    </w:p>
    <w:p>
      <w:r>
        <w:t>Par arrêt du 11 avril 2013, la Cour de droit administratif et public du Tribunal cantonal du canton de Vaud a déclaré irrecevable pour cause de tardiveté le recours interjeté le 19 novembre 2012 par X.________ contre la facture de 50 fr. que le Service cantonal des automobiles et de la navigation lui a adressée le 16 avril 2012 pour l'émission d'un nouveau permis de circulation de son motocycle.</w:t>
      </w:r>
    </w:p>
    <w:p>
      <w:r>
        <w:t>Le 8 mai 2013, X.________ a recouru auprès du Tribunal fédéral contre cet arrêt.</w:t>
      </w:r>
    </w:p>
    <w:p>
      <w:r>
        <w:t>Il n'a pas été ordonné d'échange d'écritures.</w:t>
      </w:r>
    </w:p>
    <w:p>
      <w:r>
        <w:rPr>
          <w:b/>
        </w:rPr>
        <w:t>E. 2</w:t>
      </w:r>
    </w:p>
    <w:p>
      <w:r>
        <w:t>Le Tribunal fédéral examine d'office et librement la recevabilité des recours qui lui sont soumis.</w:t>
      </w:r>
    </w:p>
    <w:p>
      <w:r>
        <w:t>En vertu de l'art. 42 al. 1 de la loi sur le Tribunal fédéral (LTF; RS 173.110),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outre, si elle se plaint de la violation de ses droits fondamentaux, elle doit respecter le principe d'allégation et indiquer précisément quelle disposition constitutionnelle a été violée en démontrant par une argumentation précise en quoi consiste la violation ( art. 106 al. 2 LTF ; ATF 134 I 83 consid. 3.2 p. 88).</w:t>
      </w:r>
    </w:p>
    <w:p>
      <w:r>
        <w:t>La Cour de droit administratif et public a déclaré irrecevable le recours au motif que X.________ n'avait pas fait preuve de toute la diligence que l'on était en droit d'attendre de sa part en recourant contre la facture du Service des automobiles et de la navigation plus de sept mois après l'envoi de celle-ci. Elle a au surplus précisé que, supposé recevable, le recours aurait dû de toute manière être rejeté. L'arrêt attaqué repose ainsi sur une double motivation qu'il incombait à la recourante, à peine d'irrecevabilité, de contester en se conformant aux exigences fixées par la jurisprudence relative aux art. 42 al. 2 et 106 al. 2 LTF ( ATF 133 IV 119 consid. 6.3 p. 120). La recourante ne cherche pas à démontrer en quoi la Cour de droit administratif et public aurait fait preuve d'arbitraire ou violé d'une autre manière le droit en considérant qu'elle avait agi tardivement et en déclarant son recours irrecevable pour ce motif. Elle se borne à critiquer les considérants de fond de l'arrêt attaqué. Son recours ne répond pas aux exigences de motivation requises et doit être déclaré irrecevable.</w:t>
      </w:r>
    </w:p>
    <w:p>
      <w:r>
        <w:rPr>
          <w:b/>
        </w:rPr>
        <w:t>E. 3</w:t>
      </w:r>
    </w:p>
    <w:p>
      <w:r>
        <w:t>L'irrecevabilité du recours étant manifeste, l'arrêt sera rendu selon la procédure simplifiée prévue par l' art. 108 al. 1 let. b LTF . Vu les circonstances, il sera renoncé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