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1C_464/2023 vom 14. Februar 2024</w:t>
      </w:r>
    </w:p>
    <w:p>
      <w:r>
        <w:t>Bundesgericht, 2024-02-14, FR</w:t>
      </w:r>
    </w:p>
    <w:p>
      <w:r>
        <w:rPr>
          <w:b/>
        </w:rPr>
        <w:t xml:space="preserve">Quelle: </w:t>
      </w:r>
      <w:r>
        <w:t>https://mcp.opencaselaw.ch/entscheid/bger_1C_464_2023</w:t>
      </w:r>
    </w:p>
    <w:p>
      <w:r>
        <w:t>FR: TF 1C_464/2023 du 14 février 2024</w:t>
      </w:r>
    </w:p>
    <w:p>
      <w:r>
        <w:t>IT: TF 1C_464/2023 del 14 febbraio 2024</w:t>
      </w:r>
    </w:p>
    <w:p>
      <w:pPr>
        <w:pStyle w:val="Heading2"/>
      </w:pPr>
      <w:r>
        <w:t>Erwägungen</w:t>
      </w:r>
    </w:p>
    <w:p>
      <w:r>
        <w:rPr>
          <w:b/>
        </w:rPr>
        <w:t>E. 1</w:t>
      </w:r>
    </w:p>
    <w:p>
      <w:r>
        <w:t>Le recours est dirigé contre une décision finale ( art. 90 LTF ) prise en dernière instance cantonale ( art. 86 al. 1 let . d LTF) en matière de rapports de travail de droit public. Comme le litige porte sur la réintégration du recourant dans son ancienne fonction, pour laquelle son salaire était supérieur et susceptible d'évoluer au cours des années à venir, il s'agit d'une contestation pécuniaire, de sorte que le motif d'exclusion de l' art. 83 let . g LTF n'entre pas en considération. La valeur litigieuse atteint par ailleurs le seuil de 15'000 fr., ouvrant la voie du recours en matière de droit public selon les art. 82 ss LTF ( art. 51 al. 1 let. a et 2 LTF ; 85 al. 1 let. b LTF ). Le recours constitutionnel subsidiaire est de ce fait irrecevable ( art. 113 LTF ).</w:t>
      </w:r>
    </w:p>
    <w:p>
      <w:r>
        <w:t>Les autres conditions de recevabilité sont au surplus réunies, si bien qu'il convient en principe d'entrer en matière.</w:t>
      </w:r>
    </w:p>
    <w:p>
      <w:r>
        <w:rPr>
          <w:b/>
        </w:rPr>
        <w:t>E. 2</w:t>
      </w:r>
    </w:p>
    <w:p>
      <w:r>
        <w:t>Le recourant fait grief à l'autorité précédente d'avoir arbitrairement qualifié son changement d'affectation d'office comme une mesure au sens de l'art. 94 du Statut du personnel de la Ville de Genève</w:t>
      </w:r>
    </w:p>
    <w:p>
      <w:r>
        <w:t>(ci-après: Statut; RS/GE LC 21 151), et non comme une sanction disciplinaire au sens de l'art. 93 al. 1 du Statut, à laquelle un délai de prescription devait être appliqué.</w:t>
      </w:r>
    </w:p>
    <w:p>
      <w:r>
        <w:rPr>
          <w:b/>
        </w:rPr>
        <w:t>E. 2.1.1</w:t>
      </w:r>
    </w:p>
    <w:p>
      <w:r>
        <w:t>Le Tribunal fédéral revoit librement l'interprétation et l'application du droit fédéral et du droit constitutionnel cantonal ( art. 95 LTF ).</w:t>
      </w:r>
    </w:p>
    <w:p>
      <w:r>
        <w:t>Il examine en revanche sous l'angle restreint de l'arbitraire l'interprétation et l'application des autres règles du droit cantonal ou communal ( ATF 147 I 433 consid. 4.2; 146 II 367 consid. 3.1.5). L'application d'une disposition de droit fédéral à titre de droit communal ou cantonal supplétif ne peut être critiquée que sous l'angle de l'arbitraire ou pour violation d'autres droits constitutionnels ( ATF 148 I 1 consid. 5.3;</w:t>
      </w:r>
    </w:p>
    <w:p>
      <w:r>
        <w:t>134 II 235 consid. 4.3.1; arrêt 8C_590/2020 du 8 juillet 2021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 Dans ce contexte, il incombe à la partie recourante d'exposer une argumentation spécifique qui réponde aux exigences accrues de motivation de l' art. 106 al. 2 LTF ( ATF 149 III 81 consid. 1.3; 146 I 62 consid. 3).</w:t>
      </w:r>
    </w:p>
    <w:p>
      <w:r>
        <w:rPr>
          <w:b/>
        </w:rPr>
        <w:t>E. 2.1.2</w:t>
      </w:r>
    </w:p>
    <w:p>
      <w:r>
        <w:t>Aux termes de l'art. 93 al. 1 du Statut, les membres du personnel qui violent leurs devoirs de service intentionnellement ou par négligence peuvent se voir infliger un avertissement ou un blâme ou la suppression de l'augmentation annuelle de traitement pour l'année à venir. En tout état de cause, si la violation des devoirs de service le justifie, le changement d'affectation d'office au sens de l'art. 41 al. 4 du Statut ou le licenciement sont réservés (art. 94 al. 1 du Statut). L'art. 41 al. 4 du Statut prévoit que lorsqu'il s'avère qu'un employé ne parvient pas à fournir des prestations suffisantes dans son poste, il peut, après avoir été entendu oralement, être transféré d'office dans un autre poste correspondant à ses qualifications et aptitudes.</w:t>
      </w:r>
    </w:p>
    <w:p>
      <w:r>
        <w:rPr>
          <w:b/>
        </w:rPr>
        <w:t>E. 2.2</w:t>
      </w:r>
    </w:p>
    <w:p>
      <w:r>
        <w:t>A l'image de l'autorité communale, la cour cantonale a considéré que le changement d'affectation d'office ne constituait pas une sanction disciplinaire au sens de l'art. 93 al. 1 du Statut, mais une mesure visant à adapter la composition de l'administration en vue d'assurer son bon fonctionnement. Pour aboutir à cette conclusion, la Cour de justice a procédé à une interprétation complète et détaillée du droit communal. Elle a en particulier relevé qu'il importait peu, dans ce cadre, que la personne intéressée ressente le changement d'affectation d'office comme une sanction ou que ce changement soit entraîné par une faute commise par l'employé. Au vu de la qualification retenue, la question de la prescription de la sanction disciplinaire ne se posait pas.</w:t>
      </w:r>
    </w:p>
    <w:p>
      <w:r>
        <w:rPr>
          <w:b/>
        </w:rPr>
        <w:t>E. 2.3</w:t>
      </w:r>
    </w:p>
    <w:p>
      <w:r>
        <w:t>En l'espèce, il est douteux que les exigences de motivation accrues de l' art. 106 al. 2 LTF soient réalisées. Dans son écriture, le recourant se contente en effet d'indiquer que la cause devrait être renvoyée à l'autorité précédente pour qu'elle statue sur la question de la prescription de la sanction disciplinaire. Il n'explique pas quel serait le délai de prescription applicable à son changement d'affectation si celui-ci venait à être qualifié de sanction disciplinaire et, le cas échéant, si ce délai était atteint. Ce faisant, il n'expose pas en quoi l'arrêt entrepris serait arbitraire dans son résultat.</w:t>
      </w:r>
    </w:p>
    <w:p>
      <w:r>
        <w:t>En tout état, l'appréciation de l'autorité précédente ne prête pas le flanc à la critique. Le recourant ne démontre en effet pas que l'interprétation à laquelle la cour cantonale a procédé serait arbitraire. Il considère que la perte de son grade de sergent-major et la perte d'argent entraînées par son changement d'affectation suffisent à qualifier celui-ci de sanction. Il estime à cet égard que le fait que l'art. 93 al. 1 du Statut prévoit une sanction ayant un impact économique sur la personne intéressée (suppression de l'augmentation annuelle de traitement pour l'année à venir) devrait conduire à qualifier son changement d'affectation, qui affecte sa propre situation économique, de sanction. Procédant de la sorte, le recourant ignore l'argumentation développée dans l'arrêt attaqué et se limite à opposer sa propre interprétation du droit communal à celle de l'autorité précédente. Une telle manière de procéder ne suffit pas à démontrer le caractère manifestement insoutenable de l'interprétation opérée par la Cour de justice, qui paraît au demeurant fondée sur des motifs objectifs.</w:t>
      </w:r>
    </w:p>
    <w:p>
      <w:r>
        <w:t>L'arrêt attaqué ne peut donc être qualifié d'arbitraire sur ce point et le grief doit être rejeté dans la mesure de sa recevabilité.</w:t>
      </w:r>
    </w:p>
    <w:p>
      <w:r>
        <w:rPr>
          <w:b/>
        </w:rPr>
        <w:t>E. 3</w:t>
      </w:r>
    </w:p>
    <w:p>
      <w:r>
        <w:t>Le recourant se plaint ensuite d'arbitraire dans l'application de l'art. 94 du Statut.</w:t>
      </w:r>
    </w:p>
    <w:p>
      <w:r>
        <w:t>Se référant à sa jurisprudence, la cour cantonale rappelle qu'un changement d'affectation d'office selon l'art. 94 du Statut peut intervenir à la seule condition d'être justifié par la violation des devoirs de service. A cet égard, la Cour de justice relève qu'en l'espèce, la violation de ses devoirs de service par le recourant, qui n'est pas contestée, se révèle être d'une gravité suffisante pour justifier une telle mesure.</w:t>
      </w:r>
    </w:p>
    <w:p>
      <w:r>
        <w:t>Le recourant affirme que cette interprétation ne peut être suivie. Il est d'avis qu'un changement d'affectation d'office au sens de l'art. 94 du Statut est, au vu du renvoi à l'art. 41 al. 4 du Statut, subordonné à deux conditions cumulatives: la violation des devoirs de service et l'incapacité à fournir des prestations suffisantes dans le poste. Procédant de la sorte, le recourant se contente d'opposer son interprétation de l'art. 94 du Statut à celle de la Cour de justice. Il ne démontre ni le caractère insoutenable de la solution retenue par l'autorité précédente, ni en quoi elle serait arbitraire dans son résultat. Le recourant se borne ainsi à qualifier l'appréciation de la Cour de justice d'arbitraire au seul motif que les art. 94 et 41 al. 4 du Statut l'infirmeraient. Il ne discute pas les considérants de l'arrêt attaqué et n'expose pas non plus en quoi l'interprétation de la cour cantonale serait contraire au but de la législation en cause, ce qui n'apparaît au demeurant pas manifeste.</w:t>
      </w:r>
    </w:p>
    <w:p>
      <w:r>
        <w:t>Partant, et faute d'une motivation répondant aux exigences de l' art. 106 al. 2 LTF , ce grief est irrecevable.</w:t>
      </w:r>
    </w:p>
    <w:p>
      <w:r>
        <w:rPr>
          <w:b/>
        </w:rPr>
        <w:t>E. 4</w:t>
      </w:r>
    </w:p>
    <w:p>
      <w:r>
        <w:t>Dans un dernier grief, le recourant estime que l'autorité précédente aurait violé le principe de proportionnalité en considérant qu'il n'existait pas de mesure moins incisive que le changement d'affectation d'office.</w:t>
      </w:r>
    </w:p>
    <w:p>
      <w:r>
        <w:rPr>
          <w:b/>
        </w:rPr>
        <w:t>E. 4.1</w:t>
      </w:r>
    </w:p>
    <w:p>
      <w:r>
        <w:t>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 art. 5 al. 2 Cst. ). Bien que de rang constitutionnel, le principe de la proportionnalité ne constitue pas un droit constitutionnel avec une portée propre ( ATF 136 I 241 consid. 3.1). Aussi, lorsque ce principe est invoqué en relation avec l'application du droit cantonal</w:t>
      </w:r>
    </w:p>
    <w:p>
      <w:r>
        <w:t>(en dehors du domaine de protection d'un droit fondamental spécial), le Tribunal fédéral ne revoit pas son respect librement, mais seulement sous l'angle de l'arbitraire ( ATF 141 I 1 consid. 5.3.2; arrêt 8C_353/2022 du 16 mai 2023 consid. 7.3).</w:t>
      </w:r>
    </w:p>
    <w:p>
      <w:r>
        <w:rPr>
          <w:b/>
        </w:rPr>
        <w:t>E. 4.2</w:t>
      </w:r>
    </w:p>
    <w:p>
      <w:r>
        <w:t>En l'espèce, la cour cantonale a relevé la gravité, non contestée, des manquements du recourant et le fait que ceux-ci ont porté atteinte au lien de confiance entre l'employé et l'intimée. Elle a constaté qu'en optant pour un changement d'affectation d'office, l'intimée avait choisi une mesure moins incisive qu'un licenciement, qu'elle aurait pourtant pu prononcer. Elle avait ainsi ménagé un juste équilibre entre les intérêts publics à un bon fonctionnement de l'administration et les intérêts privés du recourant.</w:t>
      </w:r>
    </w:p>
    <w:p>
      <w:r>
        <w:rPr>
          <w:b/>
        </w:rPr>
        <w:t>E. 4.3</w:t>
      </w:r>
    </w:p>
    <w:p>
      <w:r>
        <w:t>Devant le Tribunal fédéral, le recourant n'expose pas en quoi l'autorité précédente aurait violé le principe de la proportionnalité, se contentant d'affirmer que la Cour de justice se contredit "de manière irréductible". Il ne fait pour l'essentiel qu'opposer son appréciation à celle de la cour cantonale, sans indiquer en quoi celle-ci aurait versé dans l'arbitraire. On peut partant se demander si le recours répond aux exigences de motivation accrues de l' art. 106 al. 2 LTF .</w:t>
      </w:r>
    </w:p>
    <w:p>
      <w:r>
        <w:t>Quoiqu'il en soit, la critique du recourant est dénuée de fondement.</w:t>
      </w:r>
    </w:p>
    <w:p>
      <w:r>
        <w:t>Il n'apparaît en l'espèce pas que l'autorité précédente aurait violé le principe de la proportionnalité en confirmant le changement d'affectation d'office du recourant. En renonçant à un licenciement, l'intimée, qui disposait d'un large pouvoir d'appréciation à ce sujet, semble au contraire avoir limité les conséquences des manquements du recourant, pourtant reconnus comme graves, sur sa situation professionnelle.</w:t>
      </w:r>
    </w:p>
    <w:p>
      <w:r>
        <w:t>Ce grief doit par conséquent être écarté, si tant est qu'il réponde aux exigences de motivation de l' art. 106 al. 2 LTF .</w:t>
      </w:r>
    </w:p>
    <w:p>
      <w:r>
        <w:rPr>
          <w:b/>
        </w:rPr>
        <w:t>E. 5</w:t>
      </w:r>
    </w:p>
    <w:p>
      <w:r>
        <w:t>Au vu de ce qui précède, le recours doit être rejeté dans la mesure de sa recevabilité.</w:t>
      </w:r>
    </w:p>
    <w:p>
      <w:r>
        <w:t>Les frais judiciaires, arrêtés à 3'000 fr., sont mis à la charge du recourant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