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1C_464/2021 vom 6. Oktober 2021</w:t>
      </w:r>
    </w:p>
    <w:p>
      <w:r>
        <w:t>Bundesgericht, 2021-10-06, DE</w:t>
      </w:r>
    </w:p>
    <w:p>
      <w:r>
        <w:rPr>
          <w:b/>
        </w:rPr>
        <w:t xml:space="preserve">Quelle: </w:t>
      </w:r>
      <w:r>
        <w:t>https://mcp.opencaselaw.ch/entscheid/bger_1C_464_2021</w:t>
      </w:r>
    </w:p>
    <w:p>
      <w:r>
        <w:t>FR: TF 1C_464/2021 du 6 octobre 2021</w:t>
      </w:r>
    </w:p>
    <w:p>
      <w:r>
        <w:t>IT: TF 1C_464/2021 del 6 ottobre 2021</w:t>
      </w:r>
    </w:p>
    <w:p>
      <w:pPr>
        <w:pStyle w:val="Heading2"/>
      </w:pPr>
      <w:r>
        <w:t>Erwägungen</w:t>
      </w:r>
    </w:p>
    <w:p>
      <w:r>
        <w:rPr>
          <w:b/>
        </w:rPr>
        <w:t>E. 1</w:t>
      </w:r>
    </w:p>
    <w:p>
      <w:r>
        <w:t>Mit Eingabe vom 29. April 2021, welche von seiner Lebensgefährtin B.________ mitunterzeichnet ist, erstattete A.________ Strafanzeige gegen den Stadtpräsidenten von Rorschach, C.________, und verschiedene Mitarbeitende der Stadt Rorschach wegen falscher Anschuldigung, Irreführung der Rechtspflege, Nötigung etc. Zum einen soll die Elternbeitragsberechnung für die Fremdplatzierung des Sohnes von B.________ falsch gewesen sein, zum andern handle es sich um eine "Gegenanzeige" gegen C.________, der ihn seinerseits wegen Ehrverletzungsdelikten und Drohungen angezeigt habe.</w:t>
      </w:r>
    </w:p>
    <w:p>
      <w:r>
        <w:t>Das Kantonale Untersuchungsamt leitete die Strafanzeigen an die Anklagekammer des Kantons St. Gallen weiter zur Durchführung des Ermächtigungsverfahrens.</w:t>
      </w:r>
    </w:p>
    <w:p>
      <w:r>
        <w:t>Am 6. Juli 2021 erteilte die Anklagekammer die Ermächtigung zur Eröffnung eines Strafverfahrens nicht.</w:t>
      </w:r>
    </w:p>
    <w:p>
      <w:r>
        <w:t>Mit Eingabe vom 17. August 2021 beantragen A.________ und B.________, diesen Entscheid der Anklagekammer aufzuheben</w:t>
      </w:r>
    </w:p>
    <w:p>
      <w:r>
        <w:t>Vernehmlassungen wurden keine eingeholt.</w:t>
      </w:r>
    </w:p>
    <w:p>
      <w:r>
        <w:rPr>
          <w:b/>
        </w:rPr>
        <w:t>E. 2</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der Beschwerdegegner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Beschwerdeführer,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Sozialen Dienste haben die von B.________ an die Fremdplatzierung ihres Sohnes zu zahlenden Elternbeiträge offenbar auf deren Betreiben hin erheblich reduziert. Die Beschwerdeführer machen geltend, der Umstand, dass zunächst eine überhöhte Forderung gestellt worden sei, begründe einen Anfangsverdacht auf ein strafbares Verhalten der an dieser Angelegenheit beteiligten Mitarbeiter der Sozialen Dienste. Die Anklagekammer hat dazu ausgeführt, B.________ habe diese Vorwürfe bereits am 3. September 2020 gegen andere Personen erhoben. Mit Entscheid vom 11. November 2020 habe sie die Ermächtigung zu deren strafrechtlicher Verfolgung nicht erteilt. In der Strafanzeige vom 29. April 2021 würden keine neuen bzw. hinreichend konkretisierten Anhaltspunkte vorgebracht, die an ihrer Beurteilung vom 11. November 2020 etwas ändern könnten. Damit setzen sich die Beschwerdeführer nicht sachgerecht auseinander und legen nicht dar, inwiefern die damalige Beurteilung unzutreffend war bzw. sich die Sach- und Rechtslage im Vergleich zur ursprünglichen Strafanzeige erheblich geändert haben könnte. Es ist (nach wie vor) auch nicht ersichtlich, inwiefern der Umstand allein, dass die Sozialen Dienste die von B.________ zu bezahlenden Elternbeiträge zunächst höher ansetzen wollten als sie es schliesslich getan haben, einen Anfangsverdacht auf ein strafbares Verhalten der angezeigten Mitarbeiter der Sozialen Dienste bzw. des Leiters begründen könnte. Die Beschwerde ist offenkundig unbegründet. Zu den weiteren in der Strafanzeige erhobenen Vorwürfen äussern sich die Beschwerdeführer nicht mehr oder jedenfalls nicht substantiell, weshalb sie nicht Gegenstand des Beschwerdeverfahrens sind.</w:t>
      </w:r>
    </w:p>
    <w:p>
      <w:r>
        <w:rPr>
          <w:b/>
        </w:rPr>
        <w:t>E. 3</w:t>
      </w:r>
    </w:p>
    <w:p>
      <w:r>
        <w:t>Auf die Beschwerde ist im vereinfachten Verfahren wegen Verletzung der Begründungspflicht nicht einzutreten. Auf die Auferlegung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