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1C_463/2021 vom 27. Dezember 2021</w:t>
      </w:r>
    </w:p>
    <w:p>
      <w:r>
        <w:t>Bundesgericht, 2021-12-27, DE</w:t>
      </w:r>
    </w:p>
    <w:p>
      <w:r>
        <w:rPr>
          <w:b/>
        </w:rPr>
        <w:t xml:space="preserve">Quelle: </w:t>
      </w:r>
      <w:r>
        <w:t>https://mcp.opencaselaw.ch/entscheid/bger_1C_463_2021</w:t>
      </w:r>
    </w:p>
    <w:p>
      <w:r>
        <w:t>FR: TF 1C_463/2021 du 27 décembre 2021</w:t>
      </w:r>
    </w:p>
    <w:p>
      <w:r>
        <w:t>IT: TF 1C_463/2021 del 27 dicembre 2021</w:t>
      </w:r>
    </w:p>
    <w:p>
      <w:pPr>
        <w:pStyle w:val="Heading2"/>
      </w:pPr>
      <w:r>
        <w:t>Erwägungen</w:t>
      </w:r>
    </w:p>
    <w:p>
      <w:r>
        <w:rPr>
          <w:b/>
        </w:rPr>
        <w:t>E. 1</w:t>
      </w:r>
    </w:p>
    <w:p>
      <w:r>
        <w:t>Angefochten ist ein kantonal letztinstanzlicher Entscheid des Verwaltungsgerichts Schwyz. Dagegen steht grundsätzlich die Beschwerde in öffentlich-rechtlichen Angelegenheiten an das Bundesgericht offen (Art. 82 lit. a, 86 Abs. 1 lit. d BGG). Der Beschwerdeführer hat am vorinstanzlichen Verfahren teilgenommen und ist als Eigentümer der an das Baugrundstück angrenzenden Liegenschaft grundsätzlich zur Beschwerde legitimiert ( Art. 89 Abs. 1 BGG ).</w:t>
      </w:r>
    </w:p>
    <w:p>
      <w:r>
        <w:rPr>
          <w:b/>
        </w:rPr>
        <w:t>E. 1.1</w:t>
      </w:r>
    </w:p>
    <w:p>
      <w:r>
        <w:t>Zu prüfen ist, ob nunmehr ein Endentscheid im Sinne von Art. 90 BGG vorliegt, der das Verfahren abschliesst.</w:t>
      </w:r>
    </w:p>
    <w:p>
      <w:r>
        <w:t>Ausschlaggebend für die Bejahung eines Zwischenentscheids im Verfahren 1C_513/2020 war der Umstand, dass die Bauherrschaft verpflichtet war, vor Baufreigabe noch das Vordach beim Hauseingang auf die gesetzlich zulässige Ausladung zurückzuführen oder ein gesetzmässiges Vordach anderswie vorzusehen. Die Nebenbestimmung war so formuliert, dass der Bauherrschaft noch ein architektonischer Spielraum verblieb, mit der Folge, dass die Baubewilligungsbehörde die Umsetzung der Nebenbestimmung erst gestützt auf entsprechend überarbeitete Pläne beurteilen konnte. Das Baubewilligungsverfahren war somit zum damaligen Zeitpunkt noch nicht abgeschlossen.</w:t>
      </w:r>
    </w:p>
    <w:p>
      <w:r>
        <w:t>Zwischenzeitlich hat die Beschwerdegegnerin jedoch auf ein Vordach vollständig verzichtet. Dies hat zur Folge, dass das Baubewilligungsverfahren insoweit gegenstandslos geworden ist. Alle anderen (aufrechterhaltenen) Teile des Baugesuchs wurden bereits vom Verwaltungsgericht beurteilt, weshalb der angefochtene Entscheid nunmehr als Endentscheid qualifiziert werden kann. Daran ändert auch der Umstand nichts, dass die bewilligten Baupläne hinsichtlich des Vordachs korrigiert werden müssen, da es sich insoweit nur um eine formelle Anpassung handelt und der Baubewilligungsbehörde kein Entscheidspielraum mehr zusteht.</w:t>
      </w:r>
    </w:p>
    <w:p>
      <w:r>
        <w:t>Im Urteil 1C_513/2021 E. 2 wurde ausdrücklich offengelassen, ob Farbwahl und Lage der Markisen für die Qualifikation als End- oder Zwischenentscheid massgeblich seien. Da die Bauherrschaft auf die Markisen verzichtet hat, braucht dieser Frage auch im vorliegenden Verfahren nicht nachgegangen zu werden.</w:t>
      </w:r>
    </w:p>
    <w:p>
      <w:r>
        <w:rPr>
          <w:b/>
        </w:rPr>
        <w:t>E. 1.2</w:t>
      </w:r>
    </w:p>
    <w:p>
      <w:r>
        <w:t>Die Beschwerdefrist begann frühestens mit der Mitteilung der Gemeinde Lachen vom 14. Juni 2021 und wurde somit eingehalten (Art. 100 Abs. 1 i.V.m. Art. 46 Abs. 1 lit. b BGG ). Es kann daher offenbleiben, ob zur Fristauslösung eine erneute Zustellung der Baubewilligung und/oder der Baufreigabe mit Rechtsmittelbelehrung erforderlich gewesen wäre.</w:t>
      </w:r>
    </w:p>
    <w:p>
      <w:r>
        <w:rPr>
          <w:b/>
        </w:rPr>
        <w:t>E. 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Hierfür gelten qualifizierte Begründungsanforderungen ( BGE 133 II 249 E. 1.4.2 S. 254 mit Hinweisen).</w:t>
      </w:r>
    </w:p>
    <w:p>
      <w:r>
        <w:t>Beruht der angefochtene Entscheid auf mehreren selbstständigen Begründungen, muss die beschwerdeführende Partei sich mit jeder dieser Begründungen in rechtsgenügender Weise auseinandersetzen, ansonsten auf die Beschwerde nicht eingetreten werden kann ( BGE 138 I 97 E. 4.1.4 S. 100 mit Hinweisen).</w:t>
      </w:r>
    </w:p>
    <w:p>
      <w:r>
        <w:rPr>
          <w:b/>
        </w:rPr>
        <w:t>E. 3</w:t>
      </w:r>
    </w:p>
    <w:p>
      <w:r>
        <w:t>Das Verwaltungsgericht hielt fest, angefochten sei eine Projektänderung. Der Regierungsratsbeschluss vom 13. November 2018 zum ursprünglichen Baugesuch sei grundsätzlich in Rechtskraft erwachsen; dieses sei daher, soweit es keine Veränderungen erfahren habe, keiner Prüfung mehr zu unterziehen (E. 2.3.1 des angefochtenen Entscheids). Zwar erscheine der vom Gemeinderat aufgelistete Katalog der Änderungen erheblich; bei genauer Betrachtung handle es sich jedoch im Wesentlichen nur um Reduktionen. Insofern liege kein als "aliud" zu qualifizierendes Baugesuch vor, sondern die Projektänderung sei als "in maiore minus" zu qualifizieren (E. 2.3.2 S. 9 unten). Zu prüfen sei die Zulässigkeit der Projektänderungen; dies gelte auch, soweit es sich um nur geringfügig veränderte Bauteile handle; insoweit könne nicht von einer res iudicata ausgegangen werden (E. 2.3.2, S. 10).</w:t>
      </w:r>
    </w:p>
    <w:p>
      <w:r>
        <w:t>Als neu und noch nicht beurteilt qualifizierte es die Verschiebung des Veloraums von der Ost- auf die Nordseite der Baute (E. 3.4.1 des angefochtenen Entscheids). Dagegen liege hinsichtlich der Einhaltung des Grenz- bzw. Strassenabstands zum Appertweg kein veränderter Sachverhalt vor, weil die Projektänderung - eine Reduktion der Höhe von 9.87 m auf 9.49 m - keine Auswirkungen auf die vorinstanzliche Beurteilung zur Anwendbarkeit des Strassenabstandes zeitige (E. 3.2.1 des angefochtenen Entscheids). Auch beim Carport könne nicht von einem veränderten Sachverhalt gesprochen werden (E. 3.3.1 des angefochtenen Entscheids). Das Verwaltungsgericht trat daher auf diese Rügen nicht ein, führte aber - im Sinne einer Eventualbegründung - aus, weshalb sie unbegründet wären, sofern auf sie einzutreten wäre. In dieser Konstellation liegen zwei selbstständige Begründungen vor.</w:t>
      </w:r>
    </w:p>
    <w:p>
      <w:r>
        <w:t>Der Beschwerdeführer legt ausführlich dar, weshalb die materiell-rechtlichen Eventualbegründungen des Verwaltungsgerichts Art. 8 und 9 BV verletzten. Dagegen legt er nicht - oder jedenfalls nicht rechtsgenügend - dar, inwiefern auch die erste Begründung, wonach es sich um res iudicatae handle, Bundesrecht verletze. Er behauptet (in Abschnitt A. "Sachverhalt"), aufgrund der zahlreichen Projektänderungen sei von einem neuen Bauvorhaben auszugehen, ohne darzulegen, weshalb die gegenteilige Auffassung des Verwaltungsgerichts willkürlich sei. Ergänzend verweist er auf die Aussage des Verwaltungsgerichts, wonach auch leicht veränderte bzw. reduzierte Bauteile angefochten werden könnten, ohne indessen zu begründen, weshalb es willkürlich sei, in Bezug auf den Abstand zum Appertweg bzw. den Carport von einem unveränderten Sachverhalt auszugehen.</w:t>
      </w:r>
    </w:p>
    <w:p>
      <w:r>
        <w:rPr>
          <w:b/>
        </w:rPr>
        <w:t>E. 4</w:t>
      </w:r>
    </w:p>
    <w:p>
      <w:r>
        <w:t>Nach dem Gesagten ist auf die Beschwerde mangels genügender Begründung nicht einzutreten ( Art. 106 Abs. 2 und 42 BGG ).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