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1C_463/2019 vom 16. Juli 2020</w:t>
      </w:r>
    </w:p>
    <w:p>
      <w:r>
        <w:t>Bundesgericht, 2020-07-16, DE</w:t>
      </w:r>
    </w:p>
    <w:p>
      <w:r>
        <w:rPr>
          <w:b/>
        </w:rPr>
        <w:t xml:space="preserve">Quelle: </w:t>
      </w:r>
      <w:r>
        <w:t>https://mcp.opencaselaw.ch/entscheid/bger_1C_463_2019</w:t>
      </w:r>
    </w:p>
    <w:p>
      <w:r>
        <w:t>FR: TF 1C_463/2019 du 16 juillet 2020</w:t>
      </w:r>
    </w:p>
    <w:p>
      <w:r>
        <w:t>IT: TF 1C_463/2019 del 16 luglio 2020</w:t>
      </w:r>
    </w:p>
    <w:p>
      <w:pPr>
        <w:pStyle w:val="Heading2"/>
      </w:pPr>
      <w:r>
        <w:t>Erwägungen</w:t>
      </w:r>
    </w:p>
    <w:p>
      <w:r>
        <w:rPr>
          <w:b/>
        </w:rPr>
        <w:t>E. 1.1</w:t>
      </w:r>
    </w:p>
    <w:p>
      <w:r>
        <w:t>Angefochten ist ein kantonal letztinstanzlicher Endentscheid eines oberen Gerichts in einer Angelegenheit des öffentlichen Rechts, der unter keinen Ausschlussgrund gemäss Art. 83 BGG fällt und daher mit Beschwerde in öffentlich-rechtlichen Angelegenheiten an das Bundesgericht weitergezogen werden kann ( Art. 82 lit. a, Art. 86 Abs. 1 lit. d und Abs. 2 sowie Art. 90 BGG ). Der Beschwerdeführer ist als Adressat des angefochtenen Entscheids ohne weiteres befugt, diesen überprüfen zu lassen. Die Beschwerde wurde ausserdem rechtzeitig erhoben.</w:t>
      </w:r>
    </w:p>
    <w:p>
      <w:r>
        <w:rPr>
          <w:b/>
        </w:rPr>
        <w:t>E. 1.2</w:t>
      </w:r>
    </w:p>
    <w:p>
      <w:r>
        <w:t>Die Beschwerde ist nur im Rahmen des Streitgegenstands zulässig. Dieser wird durch den Gegenstand des angefochtenen Entscheids und durch die Parteibegehren bestimmt ( BGE 133 II 35 E. 2 S. 38; Urteil 1C_276/2019 vom 6. Januar 2020 E. 1.1); neue Anträge, welche den Streitgegenstand ausweiten, sind vor Bundesgericht unzulässig ( Art. 99 Abs. 2 BGG ).</w:t>
      </w:r>
    </w:p>
    <w:p>
      <w:r>
        <w:rPr>
          <w:b/>
        </w:rPr>
        <w:t>E. 1.3</w:t>
      </w:r>
    </w:p>
    <w:p>
      <w:r>
        <w:t>Vorliegend erhob der Beschwerdeführer Einsprache gegen das im Jahr 2015 aufgelegte Bauprojekt "Umfahrung Cham-Hünenberg". Die Baudirektion trat jedoch nicht auf seine Einsprache ein, weil er keine Einwendungen gegen die im Projekt bezeichneten Massnahmen (Pfortensystem mit Tempo 30-Signalisation und der Mindestaufenthaltsdauer) erhoben habe. Das Verwaltungsgericht stützt diese Auffassung in seinem Urteil. Streitgegenstand ist daher grundsätzlich nur die Zulässigkeit des Nichteintretensentscheids der Baudirektion.</w:t>
      </w:r>
    </w:p>
    <w:p>
      <w:r>
        <w:rPr>
          <w:b/>
        </w:rPr>
        <w:t>E. 1.4</w:t>
      </w:r>
    </w:p>
    <w:p>
      <w:r>
        <w:t>Der Beschwerdeführer beantragt im vorliegenden Verfahren, das Ausführungsprojekt "Umfahrung Cham-Hünenberg" sei mit verschiedenen Auflagen an die Vorinstanzen zurückzuweisen. Erstens habe sich das Projekt für die neue Strasse nach Land- und Finanzbedarf so wie nach Durchfahrtskapazität an die ursprüngliche Vorlage zu halten. Zweitens seien die in der Vorlage angekündigten flankierenden Massnahmen durch eine Gemeindeabstimmung in Cham und eventuell auch in Hünenberg zu genehmigen. Falls die flankierenden Massnahmen durch die Gemeinde Cham nicht genehmigt würden oder die kantonalen Instanzen nicht zu einer Redimensionierung bereit seien, sei drittens eine neue Gesamtvorlage auszuarbeiten, die erneut der Volksabstimmung unterstehe.</w:t>
      </w:r>
    </w:p>
    <w:p>
      <w:r>
        <w:t>Diese Begehren liegen ausserhalb des Streitgegenstands und sind somit nicht zulässig. Auf die Beschwerde ist daher nicht einzutreten.</w:t>
      </w:r>
    </w:p>
    <w:p>
      <w:r>
        <w:rPr>
          <w:b/>
        </w:rPr>
        <w:t>E. 2</w:t>
      </w:r>
    </w:p>
    <w:p>
      <w:r>
        <w:t>Im Übrigen könnte die Beschwerde auch nicht gutgeheissen werden, wenn auf sie einzutreten wäre. Das Verwaltungsgericht hat schlüssig dargelegt, dass der Beschwerdeführer in seiner Einsprache keine Einwendungen gegen die im Auflageprojekt vorgesehenen Massnahmen (Pfortensystem mit Tempo 30-Signalisation und der Mindestaufenthaltsdauer) erhoben hat und die Baudirektion somit zu Recht nicht auf die Einsprache eingetreten ist. Das Verwaltungsgericht ist ausserdem zu Recht nicht auf das zweite Rechtsbegehren eingetreten, das der Beschwerdeführer im Verfahren vor dem Verwaltungsgericht vorgebracht hat, denn es war nicht in der Einsprache enthalten.</w:t>
      </w:r>
    </w:p>
    <w:p>
      <w:r>
        <w:rPr>
          <w:b/>
        </w:rPr>
        <w:t>E. 3</w:t>
      </w:r>
    </w:p>
    <w:p>
      <w:r>
        <w:t>Bei diesem Ausgang des Verfahrens wird der Beschwerdeführer kostenpflichtig ( Art. 66 BGG ). Parteientschädigungen sind nicht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