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463/2007 vom 29. Februar 2008</w:t>
      </w:r>
    </w:p>
    <w:p>
      <w:r>
        <w:t>Bundesgericht, 2008-02-29, FR</w:t>
      </w:r>
    </w:p>
    <w:p>
      <w:r>
        <w:rPr>
          <w:b/>
        </w:rPr>
        <w:t xml:space="preserve">Quelle: </w:t>
      </w:r>
      <w:r>
        <w:t>https://mcp.opencaselaw.ch/entscheid/bger_1C_463_2007</w:t>
      </w:r>
    </w:p>
    <w:p>
      <w:r>
        <w:t>FR: TF 1C 463/2007 du 29 février 2008</w:t>
      </w:r>
    </w:p>
    <w:p>
      <w:r>
        <w:t>IT: TF 1C 463/2007 del 29 febbraio 2008</w:t>
      </w:r>
    </w:p>
    <w:p>
      <w:pPr>
        <w:pStyle w:val="Heading2"/>
      </w:pPr>
      <w:r>
        <w:t>Regeste</w:t>
      </w:r>
    </w:p>
    <w:p>
      <w:r>
        <w:t>signalisation routière, modérateur de trafic | Construction des routes et circulation routière</w:t>
      </w:r>
    </w:p>
    <w:p>
      <w:pPr>
        <w:pStyle w:val="Heading2"/>
      </w:pPr>
      <w:r>
        <w:t>Erwägungen</w:t>
      </w:r>
    </w:p>
    <w:p>
      <w:r>
        <w:rPr>
          <w:b/>
        </w:rPr>
        <w:t>E. 1</w:t>
      </w:r>
    </w:p>
    <w:p>
      <w:r>
        <w:t>L'arrêt attaqué a été rendu en dernière instance cantonale, dans une cause de droit public. Il peut faire l'objet d'un recours en matière de droit public au sens de l' art. 82 let. a LTF .</w:t>
      </w:r>
    </w:p>
    <w:p>
      <w:r>
        <w:rPr>
          <w:b/>
        </w:rPr>
        <w:t>E. 1.1</w:t>
      </w:r>
    </w:p>
    <w:p>
      <w:r>
        <w:t>En vertu de l' art. 89 al. 1 LTF , a qualité pour former un tel recours quiconque a pris part à la procédure devant l'autorité précédente ou a été privé de la possibilité de le faire (let. a), est particulièrement atteint par la décision attaquée (let. b) et a un intérêt digne de protection à son annulation ou à sa modification (let. c). Cette disposition reprend les exigences applicables à l' art. 103 let. a OJ pour le recours de droit administratif (cf. Message du Conseil fédéral concernant la révision totale de l'organisation judiciaire fédérale du 28 février 2001, FF 2001 p. 4126).</w:t>
      </w:r>
    </w:p>
    <w:p>
      <w:r>
        <w:rPr>
          <w:b/>
        </w:rPr>
        <w:t>E. 1.2</w:t>
      </w:r>
    </w:p>
    <w:p>
      <w:r>
        <w:t>Selon la jurisprudence applicable au recours de droit administratif, dont il n'y a en principe pas lieu de s'écarter ( ATF 133 II 249 consid. 1.3.1 p. 253; 409 consid. 1.3 p. 413),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de tiers est exclu. Cette exigence a été posée de manière à empêcher l'action populaire au niveau de la juridiction administrative fédérale ( ATF 133 II 468 consid. 1 p. 469- 470; 131 II 649 consid. 3.1 p. 651 et les arrêts cités). Il découle du texte de l' art. 89 al. 1 let. b LTF que le législateur a voulu rendre encore plus stricte la condition de l'intérêt personnel au recours, puisqu'il est précisé que le recourant doit être "particulièrement atteint" par l'acte attaqué ( ATF 133 II 468 consid. 1 p. 469 et les auteurs cités).</w:t>
      </w:r>
    </w:p>
    <w:p>
      <w:r>
        <w:rPr>
          <w:b/>
        </w:rPr>
        <w:t>E. 1.3</w:t>
      </w:r>
    </w:p>
    <w:p>
      <w:r>
        <w:t>En l'occurrence, le recourant habite, selon ses propres dires, à quelque 700 m de l'ouvrage litigieux. Il ne prétend donc pas être touché en qualité d'habitant voisin de cet ouvrage, par les perturbations que celui-ci pourrait causer. Il affirme en revanche être l'usager qui emprunte le plus fréquemment la route du Tirage, pour se rendre à son domicile, aux commerces de St-Légier, prendre l'autoroute pour Lausanne ou Aigle, se rendre sur ses différents lieux de travail à Vevey ou Clarens, ainsi que dans le cadre des courses avec ses élèves conducteurs. Or, selon la jurisprudence, la seule qualité d'usager, même régulier, d'une route, ne suffit pas à justifier un droit d'opposition; admettre le contraire reviendrait à reconnaître le droit de recourir à un cercle indéterminé de personnes sans aucun rapport de proximité avec le projet litigieux, ce que l' art. 89 al. 1 let. b LTF (plus encore que l' art. 103 let. a OJ ) entend précisément exclure (arrêt 2A.115/2007 du 14 août 2007 concernant la suppression ou la restriction de possibilités de stationnement; 1A.11/2006 du 27 décembre 2006 consid. 3.2 concernant l'usage d'une route). En dépit d'une utilisation accrue, le recourant ne dispose pas d'un droit d'usage privilégié de l'axe routier en question, de sorte que sa démarche s'apparente à une action populaire. Cela ressort également de son argumentation: le recourant relève les dangers liés à un ouvrage non conforme pour l'ensemble des usagers de la route, et le droit de ceux-ci à ce que le réseau routier soit "irréprochable"; il est d'avis qu'une jurisprudence stricte sur l'application des normes VSS "mettrait fin aux nombreuses constructions hasardeuses et dangereuses construites par les communes en Suisse". Le recourant défend ainsi les intérêts de l'ensemble des conducteurs, ce qu'il n'est pas habilité à faire. Pour ce qui le concerne, le recourant est manifestement à même de prévenir les dangers qu'il dénonce, puisqu'il connaît désormais parfaitement la configuration des lieux. Pour le surplus, le fait de devoir adapter sa vitesse en circulant, le cas échéant, à 20 km/h, dans une zone où la vitesse est de toute façon limitée à 30 km/h, ne constitue pas une atteinte "particulière" au sens de l' art. 89 al. 1 let. b LTF .</w:t>
      </w:r>
    </w:p>
    <w:p>
      <w:r>
        <w:rPr>
          <w:b/>
        </w:rPr>
        <w:t>E. 2</w:t>
      </w:r>
    </w:p>
    <w:p>
      <w:r>
        <w:t>Il s'ensuite que le recours en matière de droit public est irrecevable.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