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1C_460/2010 vom 12. November 2010</w:t>
      </w:r>
    </w:p>
    <w:p>
      <w:r>
        <w:t>Bundesgericht, 2010-11-12, DE</w:t>
      </w:r>
    </w:p>
    <w:p>
      <w:r>
        <w:rPr>
          <w:b/>
        </w:rPr>
        <w:t xml:space="preserve">Quelle: </w:t>
      </w:r>
      <w:r>
        <w:t>https://mcp.opencaselaw.ch/entscheid/bger_1C_460_2010</w:t>
      </w:r>
    </w:p>
    <w:p>
      <w:r>
        <w:t>FR: TF 1C_460/2010 du 12 novembre 2010</w:t>
      </w:r>
    </w:p>
    <w:p>
      <w:r>
        <w:t>IT: TF 1C_460/2010 del 12 novembre 2010</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 BGE 134 IV 156 E. 1.3.1 S. 160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Bei der Beantwortung der Frage, ob ein besonders bedeutender Fall gegeben ist, steht dem Bundesgericht ein weiter Ermessensspielraum zu ( BGE 134 IV 156 E. 1.3.1 S. 160 mit Hinweis).</w:t>
      </w:r>
    </w:p>
    <w:p>
      <w:r>
        <w:t>Erachtet das Bundesgericht eine Beschwerde auf dem Gebiet der internationalen Rechtshilfe in Strafsachen als unzulässig, so fällt es gemäss Art. 107 Abs. 3 BGG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eine Auslieferung und damit um ein Sachgebiet, bei dem die Beschwerde nach Art. 84 Abs. 1 BGG insoweit möglich ist. Entgegen der Auffassung des Beschwerdeführers handelt es sich jedoch um keinen besonders bedeutenden Fall. Die Vorinstanz hat zu den wesentlichen Einwänden des Beschwerdeführers Stellung genommen. Ihre Erwägungen, auf die verwiesen werden kann, stützen sich auf die bundesgerichtliche Rechtsprechung und lassen keine Bundesrechtsverletzung erkennen. Für das Bundesgericht besteht deshalb kein Anlass, die Sache an die Hand zu nehmen.</w:t>
      </w:r>
    </w:p>
    <w:p>
      <w:r>
        <w:rPr>
          <w:b/>
        </w:rPr>
        <w:t>E. 2</w:t>
      </w:r>
    </w:p>
    <w:p>
      <w:r>
        <w:t>Die Beschwerde ist danach unzulässig.</w:t>
      </w:r>
    </w:p>
    <w:p>
      <w:r>
        <w:t>Da sie aussichtlos war, kann die unentgeltliche Rechtspflege und Verbeiständung nach Art. 64 BGG nicht bewilligt werden. Unter den gegebenen Umständen - der Beschwerdeführer befindet sich seit gut 16 Monaten in der Schweiz in Haft -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