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1C_45/2024 vom 25. Januar 2024</w:t>
      </w:r>
    </w:p>
    <w:p>
      <w:r>
        <w:t>Bundesgericht, 2024-01-25, IT</w:t>
      </w:r>
    </w:p>
    <w:p>
      <w:r>
        <w:rPr>
          <w:b/>
        </w:rPr>
        <w:t xml:space="preserve">Quelle: </w:t>
      </w:r>
      <w:r>
        <w:t>https://mcp.opencaselaw.ch/entscheid/bger_1C_45_2024</w:t>
      </w:r>
    </w:p>
    <w:p>
      <w:r>
        <w:t>FR: TF 1C_45/2024 du 25 janvier 2024</w:t>
      </w:r>
    </w:p>
    <w:p>
      <w:r>
        <w:t>IT: TF 1C_45/2024 del 25 gennaio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 decisione del 30 ottobre 2023 l'Ufficio federale di giustizia ha concesso la riestradizione di A.________, cittadina italiana, all'Italia.</w:t>
      </w:r>
    </w:p>
    <w:p>
      <w:r>
        <w:rPr>
          <w:b/>
        </w:rPr>
        <w:t>E. 1.2</w:t>
      </w:r>
    </w:p>
    <w:p>
      <w:r>
        <w:t>Mediante sentenza dell'11 gennaio 2024, ricevuta dall'interessata il giorno seguente, la Corte dei reclami penali del Tribunale penale federale ne ha respinto in quanto ammissibile il gravame.</w:t>
      </w:r>
    </w:p>
    <w:p>
      <w:r>
        <w:rPr>
          <w:b/>
        </w:rPr>
        <w:t>E. 1.3</w:t>
      </w:r>
    </w:p>
    <w:p>
      <w:r>
        <w:t>Con atto del 20 gennaio 2024 l'estradanda annuncia un "ricorso" al Tribunale federale, legittimamente redatto in lingua tedesca ( art. 42 cpv. 1 LTF ). Non vi sono tuttavia motivi per scostarsi dalla regola secondo cui il procedimento si svolge di massima nella lingua della decisione impugnata, in concreto quella italiana ( art. 54 cpv. 1 LTF ).</w:t>
      </w:r>
    </w:p>
    <w:p>
      <w:r>
        <w:rPr>
          <w:b/>
        </w:rPr>
        <w:t>E. 2.1</w:t>
      </w:r>
    </w:p>
    <w:p>
      <w:r>
        <w:t>Giova ricordare che, nel campo dell'assistenza giudiziaria internazionale in materia penale, il termine - perentorio - per ricorrere al Tribunale federale è di dieci giorni ( art. 100 cpv. 2 lett. b LTF ).</w:t>
      </w:r>
    </w:p>
    <w:p>
      <w:r>
        <w:rPr>
          <w:b/>
        </w:rPr>
        <w:t>E. 2.2</w:t>
      </w:r>
    </w:p>
    <w:p>
      <w:r>
        <w:t>Contro le decisioni emanate in tale ambito il ricorso è ammissibile soltanto se concerne, come in concreto, un'estradizione e, inoltre, si tratti di un caso particolarmente importante ( art. 84 cpv. 1 e 2 LTF ; DTF 145 IV 99 consid. 1.2). Spetta alla ricorrente, pena l'inammissibilità del gravame, dimostrare che queste condizioni di entrata in materia sono adempiute (art. 42 cpv. 2 secondo periodo LTF; DTF 145 IV 99 consid. 1.5). La ricorrente, assistita da un legale, non si esprime del tutto al riguardo. L'atto di ricorso è infatti privo di conclusioni e di qualsiasi motivazione, ragione per cui esso è inammissibile (art. 42 cpv. 1 e 2 primo periodo LTF).</w:t>
      </w:r>
    </w:p>
    <w:p>
      <w:r>
        <w:rPr>
          <w:b/>
        </w:rPr>
        <w:t>E. 3</w:t>
      </w:r>
    </w:p>
    <w:p>
      <w:r>
        <w:t>Ne segue che il ricorso, manifestamente inammissibile per carenza di motivazione, non può essere esaminato nel merito e può essere deciso sulla base della procedura semplificata dell' art. 108 cpv. 1 lett. b LTF . Le spese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