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1C_45/2019 vom 7. November 2019</w:t>
      </w:r>
    </w:p>
    <w:p>
      <w:r>
        <w:t>Bundesgericht, 2019-11-07, FR</w:t>
      </w:r>
    </w:p>
    <w:p>
      <w:r>
        <w:rPr>
          <w:b/>
        </w:rPr>
        <w:t xml:space="preserve">Quelle: </w:t>
      </w:r>
      <w:r>
        <w:t>https://mcp.opencaselaw.ch/entscheid/bger_1C_45_2019</w:t>
      </w:r>
    </w:p>
    <w:p>
      <w:r>
        <w:t>FR: TF 1C_45/2019 du 7 novembre 2019</w:t>
      </w:r>
    </w:p>
    <w:p>
      <w:r>
        <w:t>IT: TF 1C_45/2019 del 7 novembre 2019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et s. LTF, aucune des exceptions prévues à l' art. 83 LTF n'étant réalisée. Les recourants ont qualité pour agir ( art. 89 al. 1 LTF ).</w:t>
      </w:r>
    </w:p>
    <w:p>
      <w:r>
        <w:rPr>
          <w:b/>
        </w:rPr>
        <w:t>E. 1.1</w:t>
      </w:r>
    </w:p>
    <w:p>
      <w:r>
        <w:t>Les conclusions du recours en matière de droit public ne peuvent tendre qu'à l'annulation et à la réforme de l'arrêt attaqué ( art. 107 al. 2 LTF ); elles doivent demeurer dans le cadre du litige soumis à l'instance cantonale ( art. 99 al. 2 LTF ). La condamnation de la commune aux frais de géomètre va au-delà de l'objet soumis à la cour cantonale, de sorte que la conclusion y relative est irrecevable. Par ailleurs, les documents produits par les recourants avec leur réplique spontanée, postérieurs à l'arrêt attaqué, sont irrecevables conformément à la règle claire de l' art. 99 al. 1 LTF .</w:t>
      </w:r>
    </w:p>
    <w:p>
      <w:r>
        <w:rPr>
          <w:b/>
        </w:rPr>
        <w:t>E. 1.2</w:t>
      </w:r>
    </w:p>
    <w:p>
      <w:r>
        <w:t>Dans la partie liminaire de leur écriture, les recourants relèvent que la composition de la CDAP était la même pour l'arrêt du 12 février 2018 que pour l'arrêt attaqué; ils estiment que les juges cantonaux ne seraient pas à même de revenir sur les considérations exprimées dans leur premier arrêt. Les recourants ne prétendent toutefois pas qu'il y aurait motif à récusation. Ils auraient d'ailleurs dû faire valoir cet argument dès que la composition de la cour cantonale leur était connue, soit à réception de l'avis du 20 novembre 2018. Au demeurant, la jurisprudence considère que la participation des mêmes magistrats à deux affaires différentes concernant les mêmes parties ne porte pas atteinte à l'exigence d'impartialité, quand bien même des questions similaires se poseraient dans les deux affaires ( ATF 143 IV 69 consid. 3.1 p. 73). A supposer donc que les recourants entendent en faire un motif d'annulation de l'arrêt attaqué, le grief devrait être écarté.</w:t>
      </w:r>
    </w:p>
    <w:p>
      <w:r>
        <w:rPr>
          <w:b/>
        </w:rPr>
        <w:t>E. 2</w:t>
      </w:r>
    </w:p>
    <w:p>
      <w:r>
        <w:t>Les recourants se plaignent de l'établissement inexact des faits au sens de l' art. 97 al. 1 LTF et demandent que l'état de fait soit complété par le Tribunal fédéral. Ils relèvent que par arrêt du 12 février 2018, la CDAP a admis leur recours contre une autorisation de construire sur la parcelle n° 106. Cet arrêt est définitif, faute de recours. Les recourants estiment aussi nécessaire de préciser la nature du plan de 1982, soit un plan graphique à l'échelle 1:5000; selon une expertise réalisée en 1997 à l'occasion d'un projet de construction ayant abouti à la délivrance d'un permis de construire sur la parcelle n° 792 des recourants, la limite entre la zone de Bourg et la zone de verdure avait été définie à l'échelle 1:500 pour l'ensemble du secteur; elle se situait, pour la parcelle n° 106, à 2,8 m de la limite nord. Cette même limite figurait également sur les plans relatifs à des autorisations de construire accordées en 2015 et 2016. Les recourants relèvent que leur opposition datait du 14 décembre 2016 (et non 2017) et qu'ils dénonçaient l'augmentation de la surface constructible tant par le déplacement de la limite des constructions que par la constatation inexacte de l'aire forestière. Les recourants demandaient que la limite soit fixée au niveau de la façade sud-est de leur propre bâtiment. Les recourants se plaignent aussi de ce que l'arrêt cantonal ne citerait pas un passage du préavis de la municipalité dans lequel celle-ci évoque la possibilité de recourir contre le PGA et le fait que la question de la limite de zones serait tranchée dans le cadre du recours contre l'autorisation de construire sur la parcelle n° 106, indications qui seraient nécessaires dans le cadre de la pesée d'intérêts.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w:t>
      </w:r>
    </w:p>
    <w:p>
      <w:r>
        <w:t>La nature juridique de l'arrêt du 12 février 2018, concernant le permis de construire initial sur la parcelle n° 106, n'est pas une question de fait mais une question de droit. Cela étant, il ressort clairement de l'arrêt attaqué (faits, lettre B) que le premier permis de construire a été annulé uniquement pour des motifs tenant à l'absence d'un titre juridique suffisant pour assurer l'accès à la parcelle. L'arrêt attaqué rappelle que les autres griefs soulevés par les recourants avaient été rejetés, en particulier ceux qui concernaient la délimitation de la zone de Bourg et la décision de constatation de la nature forestière. Il s'agit d'un arrêt rendu dans une procédure distincte, de sorte que le juge saisi d'un litige relatif à la planification n'était en principe pas nécessairement lié par ces considérations. Rien n'empêchait toutefois qu'il s'y réfère dans la mesure où aucun élément nouveau n'imposait une appréciation différente.</w:t>
      </w:r>
    </w:p>
    <w:p>
      <w:r>
        <w:t>Le grief concernant la fixation de la limite sur la parcelle n° 106 ne relève pas non plus du fait mais du droit. Les précisions que les recourants entendent apporter sur ce point à l'état de fait ressortent de l'arrêt du 12 février 2018 (consid. 1) auquel la cour cantonale pouvait, comme on l'a vu, se référer dans l'arrêt attaqué. Celui-ci ne méconnaît pas non plus que les recourants se sont opposés tant à la planification qu'à la constatation de la nature forestière (faits, lettre D). Quant à la manière dont les recourants entendaient fixer la limite de la zone constructible, elle est rappelée tant dans le premier arrêt (consid. 1) que dans le second (faits, lettre G et droit, consid. 2). Enfin, l'existence parallèle de deux procédures, d'autorisation de construire et de planification, ressort clairement de l'arrêt attaqué, et on ne voit pas en quoi la méconnaissance d'une partie du préavis communal pouvait avoir une influence sur la pesée d'intérêts.</w:t>
      </w:r>
    </w:p>
    <w:p>
      <w:r>
        <w:t>Les griefs relatifs à l'établissement des faits doivent ainsi être écartés.</w:t>
      </w:r>
    </w:p>
    <w:p>
      <w:r>
        <w:rPr>
          <w:b/>
        </w:rPr>
        <w:t>E. 3</w:t>
      </w:r>
    </w:p>
    <w:p>
      <w:r>
        <w:t>Invoquant ensuite leur droit d'être entendus ( art. 29 al. 2 Cst. ) et le principe d'égalité de traitement, les recourants rappellent l'ensemble des griefs qu'ils soulevaient à propos de la fixation de la limite des constructions. Ils estiment que la cour cantonale n'aurait pas énoncé une partie de leurs arguments (mise en oeuvre de la planification de 1982 à l'occasion de plusieurs permis de construire, erreur lors de la numérisation de ce plan, diverses irrégularités commises par la municipalité). Le grief d'inégalité de traitement n'aurait pas non plus été retenu, et la cour cantonale se serait à tort considérée comme liée par son précédent arrêt. Les recourants considèrent par ailleurs que leur argument concernant l'affectation en zone à bâtir de l'aire libérée par la forêt, n'aurait pas non plus été pris en considération.</w:t>
      </w:r>
    </w:p>
    <w:p>
      <w:r>
        <w:rPr>
          <w:b/>
        </w:rPr>
        <w:t>E. 3.1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5.2 p. 70; 142 I 135 consid. 2.1 p. 145; 141 III 28 consid. 3.2.4 p. 41). L'autorité n'a pas l'obligation d'exposer et de discuter tous les faits, moyens de preuve et griefs invoqués par les parties, mais elle peut au contraire se limiter à ceux qui lui paraissent pertinents ( ATF 142 II 154 consid. 4.2 p. 157; 139 IV 179 consid. 2.2 p. 183). La motivation peut être implicite et résulter des différents considérants de la décision ( ATF 141 V 557 consid. 3.2.1 p. 565); une motivation par renvoi à une précédente décision ou à un élément du dossier est également admissible, pour autant que les motifs auxquels il est renvoyé soient développés de manière suffisante ( ATF 114 Ia 281 consid. 4c p. 285).</w:t>
      </w:r>
    </w:p>
    <w:p>
      <w:r>
        <w:rPr>
          <w:b/>
        </w:rPr>
        <w:t>E. 3.2</w:t>
      </w:r>
    </w:p>
    <w:p>
      <w:r>
        <w:t>L'arrêt attaqué satisfait manifestement à ces exigences formelles; s'agissant de la fixation de la limite de la zone de Bourg, il renvoie à son arrêt précédent dont les recourants avaient déjà connaissance, ajoutant qu'ainsi précisée, la limite respecte les exigences du droit fédéral dans la mesure où la parcelle concernée se trouve dans un secteur largement bâti attenant au village. L'arrêt attaqué relève aussi que la délimitation de l'aire forestière a fait l'objet d'une décision de constatation confirmée par l'arrêt du 12 mai 2018. Il est encore précisé que la zone de verdure est inconstructible, de sorte que son extension n'implique pas une extension de la zone à bâtir. Ces considérations répondent aux arguments des recourants et permettent à ceux-ci de recourir en toute connaissance de cause. Cela satisfait donc aux exigences formelles découlant du droit d'être entendu.</w:t>
      </w:r>
    </w:p>
    <w:p>
      <w:r>
        <w:rPr>
          <w:b/>
        </w:rPr>
        <w:t>E. 3.3</w:t>
      </w:r>
    </w:p>
    <w:p>
      <w:r>
        <w:t>Dans la mesure où les recourants se sont limités à reprendre leurs arguments dans le cadre d'un grief d'ordre purement formel, il n'y a pas lieu de les examiner sur le fond.</w:t>
      </w:r>
    </w:p>
    <w:p>
      <w:r>
        <w:rPr>
          <w:b/>
        </w:rPr>
        <w:t>E. 4</w:t>
      </w:r>
    </w:p>
    <w:p>
      <w:r>
        <w:t>Sur le vu de ce qui précède, le recours est rejeté dans la mesure où il est recevable.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