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1C_459/2019 vom 10. September 2019</w:t>
      </w:r>
    </w:p>
    <w:p>
      <w:r>
        <w:t>Bundesgericht, 2019-09-10, DE</w:t>
      </w:r>
    </w:p>
    <w:p>
      <w:r>
        <w:rPr>
          <w:b/>
        </w:rPr>
        <w:t xml:space="preserve">Quelle: </w:t>
      </w:r>
      <w:r>
        <w:t>https://mcp.opencaselaw.ch/entscheid/bger_1C_459_2019</w:t>
      </w:r>
    </w:p>
    <w:p>
      <w:r>
        <w:t>FR: TF 1C_459/2019 du 10 septembre 2019</w:t>
      </w:r>
    </w:p>
    <w:p>
      <w:r>
        <w:t>IT: TF 1C_459/2019 del 10 settembre 2019</w:t>
      </w:r>
    </w:p>
    <w:p>
      <w:pPr>
        <w:pStyle w:val="Heading2"/>
      </w:pPr>
      <w:r>
        <w:t>Erwägungen</w:t>
      </w:r>
    </w:p>
    <w:p>
      <w:r>
        <w:rPr>
          <w:b/>
        </w:rPr>
        <w:t>E. 1</w:t>
      </w:r>
    </w:p>
    <w:p>
      <w:r>
        <w:t>A.________ erstattete am 7. November 2018 Strafanzeige gegen verschiedene Polizeifunktionäre der Kantonspolizei Zürich wegen Amtsmissbrauchs und Tätlichkeiten. Die Strafanzeige steht im Zusammenhang mit seiner polizeilichen Befragung vom 9. Juni 2017 und seiner Behandlung auf dem Polizeiposten U.________. Ebenfalls am 7. November 2018 erfolgte eine Strafanzeige gegen einen Staatsanwalt der Staatsanwaltschaft Limmattal/Albis, wobei er in der Folge die Anschuldigungen zurückzog und einen anderen Staatsanwalt der Staatsanwaltschaft Limmattal/Albis beschuldigte.</w:t>
      </w:r>
    </w:p>
    <w:p>
      <w:r>
        <w:t>Die Staatsanwaltschaft II des Kantons Zürich überwies die Akten mit Verfügung vom 11. April 2019 an die III. Strafkammer des Obergerichts des Kantons Zürich zum Entscheid über die Ermächtigung zur Durchführung einer Strafuntersuchung. Die III. Strafkammer des Obergerichts des Kantons Zürich erteilte mit Beschluss vom 30. Juli 2019 der Staatsanwaltschaft die Ermächtigung nicht. Zur Begründung führte sie zusammenfassend aus, dass keine Anhaltspunkte für eine strafbare Handlung der Angezeigten vorliegen würden.</w:t>
      </w:r>
    </w:p>
    <w:p>
      <w:r>
        <w:rPr>
          <w:b/>
        </w:rPr>
        <w:t>E. 2</w:t>
      </w:r>
    </w:p>
    <w:p>
      <w:r>
        <w:t>A.________ führt mit Eingabe vom 30. August 2019 (Postaufgabe 5. September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ausführlich dar, weshalb kein hinreichender Anfangsverdacht gegen die Angezeigten ersichtlich sei. Mit diesen Ausführungen setzt sich der Beschwerdeführer nicht auseinander und vermag mit der Darstellung seiner Sicht der Dinge nicht ansatzweise aufzuzeigen, dass die III. Strafkammer bei der Behandlung des Ermächtigungsgesuchs Recht im Sinne von Art. 42 Abs. 2 BGG verletzt hätte. Der Beschwerdeführer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