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458/2020 vom 9. September 2020</w:t>
      </w:r>
    </w:p>
    <w:p>
      <w:r>
        <w:t>Bundesgericht, 2020-09-09, DE</w:t>
      </w:r>
    </w:p>
    <w:p>
      <w:r>
        <w:rPr>
          <w:b/>
        </w:rPr>
        <w:t xml:space="preserve">Quelle: </w:t>
      </w:r>
      <w:r>
        <w:t>https://mcp.opencaselaw.ch/entscheid/bger_1C_458_2020</w:t>
      </w:r>
    </w:p>
    <w:p>
      <w:r>
        <w:t>FR: TF 1C 458/2020 du 9 septembre 2020</w:t>
      </w:r>
    </w:p>
    <w:p>
      <w:r>
        <w:t>IT: TF 1C 458/2020 del 9 settembre 2020</w:t>
      </w:r>
    </w:p>
    <w:p>
      <w:pPr>
        <w:pStyle w:val="Heading2"/>
      </w:pPr>
      <w:r>
        <w:t>Regeste</w:t>
      </w:r>
    </w:p>
    <w:p>
      <w:r>
        <w:t>Baubewilligung für eine Wärme-Kraft-Kopplungsanlage; Projektänderung | Raumplanung und öffentliches Baurecht</w:t>
      </w:r>
    </w:p>
    <w:p>
      <w:pPr>
        <w:pStyle w:val="Heading2"/>
      </w:pPr>
      <w:r>
        <w:t>Erwägungen</w:t>
      </w:r>
    </w:p>
    <w:p>
      <w:r>
        <w:rPr>
          <w:b/>
        </w:rPr>
        <w:t>E. 1</w:t>
      </w:r>
    </w:p>
    <w:p>
      <w:r>
        <w:t>Im Beschwerdeverfahren betreffend Baubewilligung für eine Wärme-Kraft-Kopplungsanlage hat der Instruktionsrichter des Berner Verwaltungsgerichts am 6. August 2020 ein Sistierungsgesuch abgewiesen, ein Gesuch um aufschiebende Wirkung beurteilt und weitere prozessleitende Anordnungen getroffen. Er hat die Kosten des Gesuchsverfahrens betreffend aufschiebende Wirkung von Fr. 800.-- A.________ auferlegt (Dispositiv-Ziffer 5) und ihn verpflichtet, der B.________ AG eine Parteientschädigung von Fr. 1'000.-- zu bezahlen (Dispositiv-Ziffer 6). Mit Beschwerde vom 1. September 2020 beantragt A.________ sinngemäss, die Dispositiv-Ziffern 5 und 6 aufzuheben und die Sache zur Neuregelung der Kosten- und Entschädigungsfolgen an die Vorinstanz zurückzuweisen. Zur Begründung führt er im Wesentlichen an, es sei stossend, dass über diese Frage bereits im Zwischenentscheid entschieden werde, wenn noch gar nicht feststehe, wie das Verfahren in der Sache ausgehe. Vernehmlassungen wurden keine eingeholt.</w:t>
      </w:r>
    </w:p>
    <w:p>
      <w:r>
        <w:rPr>
          <w:b/>
        </w:rPr>
        <w:t>E. 2</w:t>
      </w:r>
    </w:p>
    <w:p>
      <w:r>
        <w:t>Angefochten ist ein kantonal letztinstanzlicher Entscheid, mit dem das Verwaltungsgericht den Beschwerdeführer in einem Zwischenentscheid zur Bezahlung von Kosten und einer Entschädigung verpflichtet hat; dagegen ist die Beschwerde in öffentlich-rechtlichen Angelegenheiten zulässig ( Art. 82 BGG ), ein Ausnahmegrund ist nicht gegeben ( Art. 83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 Die angefochtenen Dispositiv-Ziffern haben für den Beschwerdeführer allenfalls zur Folge, dass er Gerichtskosten und Entschädigungen bezahlen muss, bevor über die Beschwerde in der Sache abschliessend entschieden wurde. Er ist weder dargetan noch ersichtlich, inwiefern ihm dadurch ein nicht wieder gutzumachender Nachteil erwächst, der mit einer nachträglichen Aufhebung dieser Kosten- und Entschädigungsregelung und der Rückzahlung der bezahlten Summen nicht wieder rückgängig gemacht werden könnte. Es liegt damit zur Zeit kein anfechtbarer Zwischenentscheid vor, der Beschwerdeführer kann ihn nach Abschluss des verwaltungsgerichtlichen Verfahrens beim Bundesgericht anfechten. Auf die Beschwerde ist damit nicht einzutreten, weil sie sich nicht gegen einen anfechtbaren Zwischenentscheid im Sinn von Art. 93 Abs. 1 BGG richtet, und zwar, weil dies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