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1C_458/2012 vom 27. Februar 2013</w:t>
      </w:r>
    </w:p>
    <w:p>
      <w:r>
        <w:t>Bundesgericht, 2013-02-27, DE</w:t>
      </w:r>
    </w:p>
    <w:p>
      <w:r>
        <w:rPr>
          <w:b/>
        </w:rPr>
        <w:t xml:space="preserve">Quelle: </w:t>
      </w:r>
      <w:r>
        <w:t>https://mcp.opencaselaw.ch/entscheid/bger_1C_458_2012</w:t>
      </w:r>
    </w:p>
    <w:p>
      <w:r>
        <w:t>FR: TF 1C_458/2012 du 27 février 2013</w:t>
      </w:r>
    </w:p>
    <w:p>
      <w:r>
        <w:t>IT: TF 1C_458/2012 del 27 febbraio 2013</w:t>
      </w:r>
    </w:p>
    <w:p>
      <w:pPr>
        <w:pStyle w:val="Heading2"/>
      </w:pPr>
      <w:r>
        <w:t>Erwägungen</w:t>
      </w:r>
    </w:p>
    <w:p>
      <w:r>
        <w:rPr>
          <w:b/>
        </w:rPr>
        <w:t>E. 1</w:t>
      </w:r>
    </w:p>
    <w:p>
      <w:r>
        <w:t>Das angefochtene Urteil des Verwaltungsgerichts ist ein kantonal letztinstanzlicher Entscheid in einer Materie des öffentlichen Rechts, die unter keinen Ausschlussgrund fällt. Die Beschwerde ist rechtzeitig erhoben. Insoweit erweist sich die vorliegende Beschwerde in öffentlich-rechtlichen Angelegenheiten als zulässig.</w:t>
      </w:r>
    </w:p>
    <w:p>
      <w:r>
        <w:t>In der Beschwerdeschrift ist gemäss Art. 42 Abs. 2 BGG in gedrängter Form darzulegen, inwiefern der angefochtene Akt Recht verletzt. Dieses Formerfordernis gilt auch in Bezug auf die Rüge der unrichtigen Feststellung des Sachverhalts und deren Bedeutung für den Ausgang des Verfahrens im Sinne von Art. 97 Abs. 1 BGG . Es ist im entsprechenden Sachzusammenhang zu prüfen, ob die Beschwerdeschrift diesen Anforderungen genügt.</w:t>
      </w:r>
    </w:p>
    <w:p>
      <w:r>
        <w:t>Nicht einzutreten ist auf den Antrag um Aufhebung des Bau- und Einspracheentscheids des Gemeindevorstands. Dieser ist durch das angefochtene Urteil ersetzt, gilt aber inhaltlich als mitangefochten (sog. Devolutiveffekt, BGE 134 II 142 E. 1.4 S. 144).</w:t>
      </w:r>
    </w:p>
    <w:p>
      <w:r>
        <w:rPr>
          <w:b/>
        </w:rPr>
        <w:t>E. 2</w:t>
      </w:r>
    </w:p>
    <w:p>
      <w:r>
        <w:t>Der Beschwerdeführer rügt ausschliesslich, dass das Verwaltungsgericht den Sachverhalt offensichtlich unrichtig festgestellt hat. Einen Verfahrensfehler macht der Beschwerdeführer nicht geltend.</w:t>
      </w:r>
    </w:p>
    <w:p>
      <w:r>
        <w:rPr>
          <w:b/>
        </w:rPr>
        <w:t>E. 2.1</w:t>
      </w:r>
    </w:p>
    <w:p>
      <w:r>
        <w:t>Nach Art. 97 Abs. 1 BGG kann vor Bundesgericht u.a. gerügt werden, dass die Feststellung des Sachverhalts offensichtlich unrichtig ist.</w:t>
      </w:r>
    </w:p>
    <w:p>
      <w:r>
        <w:t>Das Verwaltungsgericht ist aufgrund eines Augenscheins davon ausgegangen, dass auf dem Grundstück von X.________ lediglich die Erstellung der Hauszufahrt und die dazu erforderlichen Massnahmen, darüber hinaus aber keine baulichen Vorkehren (insbesondere keine Versetzung des Hauszugangs, kein Abriss der bestehenden Stützmauer etc.) vorgesehen seien. Es hielt ausdrücklich fest, dass die bestehende Stützmauer in den Plänen falsch eingetragen sei; aus diesem Umstand könne indes nichts abgeleitet werden, da weder die Mauer noch Änderungen am Hauszugang Gegenstand des Baugesuchs seien und daher den Ausgang des Verfahrens nicht beeinflussten.</w:t>
      </w:r>
    </w:p>
    <w:p>
      <w:r>
        <w:t>Der Beschwerdeführer macht demgegenüber geltend, heute führe eine Natursteintreppe auf seiner Parz. Nr. 66 vom Parkplatz her zum oberen Eingang seiner Wohnung. Die Beschwerdegegnerin plane die Erstellung einer Zufahrtsrampe über seine Parzelle, mit der Folge, dass die Natursteintreppe in Zukunft auf die Parz. Nr. 536 der Beschwerdegegnerin zu liegen komme. Auch müssten die heutigen Briefkästen bei Realisierung des Vorhabens verschoben werden. Ferner könnte er sein Haus nicht mehr von aussen über seine eigene Treppe betreten und verlassen. Die Nachmessung des Geometers habe zudem klar ergeben, dass die bestehende Stützmauer auf Parz. Nr. 66 auf den Plänen falsch eingezeichnet sei.</w:t>
      </w:r>
    </w:p>
    <w:p>
      <w:r>
        <w:rPr>
          <w:b/>
        </w:rPr>
        <w:t>E. 2.2</w:t>
      </w:r>
    </w:p>
    <w:p>
      <w:r>
        <w:t>Es kann willkürfrei davon ausgegangen werden, dass mit der umstrittenen Baubewilligung die Natursteintreppe auf der Parz. Nr. 66 des Beschwerdeführers durch die Hauszufahrt ersetzt würde. Es erscheint nachvollziehbar, dass die Erstellung der Hauszufahrt entsprechend der Baubewilligung die Stützmauer, die sich auf der Parz. Nr. 66 befindet, nicht beeinträchtigt. Das Verwaltungsgericht hat ausdrücklich festgehalten, dass die Stützmauer in den Plänen falsch eingezeichnet ist. Aufgrund der vom Beschwerdeführer eingelegten Pläne mit dem korrigierten Verlauf der Stützmauer darf angenommen werden, dass der Beschwerdeführer ohne weiteres Zugang zu seinem oberen Eingang hat. Bei dieser Sachlage kann dem Verwaltungsgericht keine Willkür vorgeworfen werden, wenn es feststellte, dass über die Erstellung der Hauszufahrt und die dazu erforderlichen Massnahmen hinaus keine baulichen Vorkehren vorgesehen seien und dass insbesondere der Hauszugang nicht versetzt werde und die bestehende Stützmauer nicht abgebrochen werde. Insofern erweist sich die Beschwerde als unbegründet.</w:t>
      </w:r>
    </w:p>
    <w:p>
      <w:r>
        <w:t>Das Verschieben der beiden Briefkästen war nicht Gegenstand des Baubewilligungsverfahrens. Hierfür bedarf es nach den Ausführungen der Gemeinde Klosters-Serneus und der Beschwerdegegnerin keiner Bewilligung. Somit ist auch in dieser Hinsicht nicht ersichtlich, dass das Verwaltungsgericht den Sachverhalt offensichtlich unzutreffend festgestellt hätte.</w:t>
      </w:r>
    </w:p>
    <w:p>
      <w:r>
        <w:t>Schliesslich legt der Beschwerdeführer nicht dar, dass sich die gerügte Sachverhaltsermittlung auf den Ausgang des Verfahrens entscheidend auswirke.</w:t>
      </w:r>
    </w:p>
    <w:p>
      <w:r>
        <w:rPr>
          <w:b/>
        </w:rPr>
        <w:t>E. 2.3</w:t>
      </w:r>
    </w:p>
    <w:p>
      <w:r>
        <w:t>Die Beschwerde erweist sich daher als unbegründet.</w:t>
      </w:r>
    </w:p>
    <w:p>
      <w:r>
        <w:rPr>
          <w:b/>
        </w:rPr>
        <w:t>E. 3</w:t>
      </w:r>
    </w:p>
    <w:p>
      <w:r>
        <w:t>Demnach ist die Beschwerde abzuweisen, soweit darauf eingetreten werden kann. Bei diesem Ausgang hat der Beschwerdeführer die bundesgerichtlichen Kosten zu tragen ( Art. 66 Abs. 1 BGG ). Zudem hat er die Beschwerdegegnerin für das bundesgerichtliche Verfahren zu entschädigen ( Art. 68 Abs. 2 BGG ). Die Gemeinde Klosters-Serneus hat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