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458/2011 vom 29. Februar 2012</w:t>
      </w:r>
    </w:p>
    <w:p>
      <w:r>
        <w:t>Bundesgericht, 2012-02-29, FR</w:t>
      </w:r>
    </w:p>
    <w:p>
      <w:r>
        <w:rPr>
          <w:b/>
        </w:rPr>
        <w:t xml:space="preserve">Quelle: </w:t>
      </w:r>
      <w:r>
        <w:t>https://mcp.opencaselaw.ch/entscheid/bger_1C_458_2011</w:t>
      </w:r>
    </w:p>
    <w:p>
      <w:r>
        <w:t>FR: TF 1C 458/2011 du 29 février 2012</w:t>
      </w:r>
    </w:p>
    <w:p>
      <w:r>
        <w:t>IT: TF 1C 458/2011 del 29 febbraio 2012</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l'octroi d'un permis de construire pour un projet de construction qu'ils tiennent en particulier pour non conforme à la LATeC.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Dans la première partie de leur écriture, les recourants présentent leur propre exposé des événements, "par souci de clarté uniquement". L'intimé avance également des faits nouveaux dans sa réponse.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leur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 grief d'ordre formel qu'il convient d'examiner en premier lieu, les recourants se plaignent d'une violation de leur droit d'être entendus ( art. 29 al. 2 Cst. ). Ils allèguent avoir consulté le dossier auprès du Tribunal cantonal, après avoir reçu l'arrêt attaqué, et y avoir trouvé le procès-verbal de la séance du comité de pilotage du 6 novembre 2009 pour la révision totale du règlement d'exécution de la LATeC. Ils reprochent au Tribunal cantonal de ne pas leur avoir communiqué ce procès-verbal et de ne pas leur avoir donné la possibilité de se déterminer sur son contenu, notamment sur le passage suivant: "durant la phase où les communes n'auront pas encore adopté leur indice, on pourrait passer par des dérogations. Le Service des constructions sera assez souple dans le traitement de ces dossiers".</w:t>
      </w:r>
    </w:p>
    <w:p>
      <w:r>
        <w:rPr>
          <w:b/>
        </w:rPr>
        <w:t>E. 3.1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133 I 100 consid. 4.5 et 4.6 p. 103 s.; arrêt 1C_568/2011 du 13 février 2012 consid. 2.1; cf. en outre les arrêts de la Cour européenne des droits de l'homme dans les causes Schaller-Bossert contre Suisse du 28 octobre 2010 § 39 s. et Nideröst-Huber contre Suisse du 18 février 1997, Recueil CourEDH 1997-I p. 101 § 24). Toutefois, le droit d'être entendu ne peut être exercé que sur les éléments qui sont déterminants pour décider de l'issue du litige. Il est ainsi possible de renoncer à l'administration de certaines preuves offertes, lorsque celles-ci résultent déjà de constatations versées au dossier ou lorsque le juge parvient à la conclusion qu'elles ne sont pas décisives pour la solution du litige ou qu'elles ne pourraient l'amener à modifier son opinion (cf. ATF 136 I 229 consid. 5.3 p. 236 et les arrêts cités).</w:t>
      </w:r>
    </w:p>
    <w:p>
      <w:r>
        <w:rPr>
          <w:b/>
        </w:rPr>
        <w:t>E. 3.2</w:t>
      </w:r>
    </w:p>
    <w:p>
      <w:r>
        <w:t>En l'espèce, il n'est fait nullement mention du procès-verbal du 6 novembre 2009 dans l'arrêt attaqué. A cet égard, le Tribunal cantonal précise, devant le Tribunal de céans, que le Juge délégué à l'instruction du recours, se souvenant du fait que la question de l'introduction de l'indice brut d'utilisation du sol avait été évoquée dans le cadre de la commission d'experts chargés de l'élaboration de la LATeC et de son règlement - à laquelle il avait participé - avait demandé au Service des constructions une copie du procès-verbal de cette séance. Il explique, qu'à réception, il s'était rendu compte que les informations qui y figuraient ne justifiaient pas d'effectuer des démarches officielles pour obtenir une autorisation de rendre public ce document interne à l'administration; de plus, la position de cette commission avait été reprise par le Conseil d'Etat et ressortait d'autres sources officielles et publiques; dans ces conditions, le Juge délégué avait décidé de ne pas prendre en compte ce document pour statuer. L'argumentation principale des recourants devant le Tribunal cantonal reposait sur l'utilisation de la dérogation non plus comme un moyen exceptionnel de corriger une situation particulière, mais comme une "pratique systématique" (cf. consid. 4 infra): pour ce faire, les recourants se fondaient sur les observations déposées par le Service des constructions le 27 janvier 2011 devant l'instance précédente et sur la réponse donnée par le Conseil d'Etat fribourgeois à la question d'un député (cf. consid. 4.3 infra). Ils connaissaient ainsi, avant la notification de l'arrêt attaqué, les réflexions faites par les autorités au sujet de situations justifiant, à leur avis, le recours à la procédure de dérogation. Sur ce point, le procès-verbal en question n'apporte aucun élément déterminant sur lequel les recourants n'auraient pas été en mesure de s'exprimer. Dans ces circonstances, les recourants ne sauraient se prévaloir d'une violation de leur droit d'être entendus. De plus, il apparaît que le procès-verbal en question n'est pas déterminant pour l'issue du litige. Le Tribunal cantonal ne s'est d'ailleurs pas fondé sur ce document pour trancher l'affaire en cause. Les éventuelles observations des recourants à ce sujet n'auraient ainsi pas été de nature à influer sur la décision à rendre. Par conséquent, le grief de la violation du droit d'être entendu doit être rejeté.</w:t>
      </w:r>
    </w:p>
    <w:p>
      <w:r>
        <w:rPr>
          <w:b/>
        </w:rPr>
        <w:t>E. 4</w:t>
      </w:r>
    </w:p>
    <w:p>
      <w:r>
        <w:t>Les recourants soutiennent que le Tribunal cantonal aurait appliqué de manière arbitraire les art. 148 al. 1, 175 al. 1 et 178 al. 1 LATeC. Ils font grief à l'instance précédente de ne se baser que sur la situation qui prévalait sous l'ancienne LATeC, en écartant volontairement et sciemment les conséquences de l'entrée en vigueur immédiate du nouvel indice, voulue par le législateur. Ils lui reprochent d'avaliser, "en toute connaissance de cause et sans aucune distance critique, une pratique dérogatoire décidée et appliquée de manière systématique pour pallier une problématique constatée postérieurement à l'entrée en vigueur de la LATeC".</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III 552 consid. 4 p. 560).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Il en va ainsi de l'octroi d'une dérogation en matière de construction (arrêt 1C_137/2010 du 24 juin 2010 consid. 2.1).</w:t>
      </w:r>
    </w:p>
    <w:p>
      <w:r>
        <w:rPr>
          <w:b/>
        </w:rPr>
        <w:t>E. 4.2</w:t>
      </w:r>
    </w:p>
    <w:p>
      <w:r>
        <w:t>A teneur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Selon l'art. 175 al. 1 LATeC, dès l'entrée en vigueur de la présente loi, les communes disposent d'un délai de cinq ans pour adapter leur plan d'aménagement local à celle-ci. L'art. 178 al. 1 LATeC prévoit qu'avec l'entrée en vigueur de la LATeC, les indices d'utilisation du sol (IUS) définis dans les plans d'aménagement local déjà approuvés, sur la base des articles 66 al. 2 et 162 de la loi du 9 mai 1983 sur l'aménagement du territoire et les constructions, sont remplacés par les indices bruts d'utilisation du sol (IBUS), et les valeurs correspondantes sont modifiées conformément à la liste figurant en annexe. Selon cette liste, un IUS de 0,45 fixé dans un plan d'aménagement de détail est remplacé, avec l'entrée en vigueur de la nouvelle LATeC, par un IBUS de 0,60.</w:t>
      </w:r>
    </w:p>
    <w:p>
      <w:r>
        <w:rPr>
          <w:b/>
        </w:rPr>
        <w:t>E. 4.3</w:t>
      </w:r>
    </w:p>
    <w:p>
      <w:r>
        <w:t>Le 24 août 2010, le Conseil d'Etat du canton de Fribourg a répondu aux questions d'un député concernant l'application de la nouvelle LATeC et de son règlement: "Par rapport à l'introduction de l'IBUS dans les plans d'aménagement local (PAL), le législateur a voulu que cette nouvelle notion soit directement applicable dès l'entrée en vigueur du nouveau droit, afin d'éviter que les communes appliquent des notions différentes durant la période transitoire. Ce choix a nécessité l'élaboration de la table de conversion qui figure en annexe de la nouvelle loi cantonale et permet l'application directe de l'IBUS dans les règlements communaux d'urbanisme (RCU) en vigueur se référant à l'indice d'utilisation du sol (ancienne notion). Il faut garder à l'esprit que la table de conversion est une mesure législative de droit transitoire.[...] Pour les communes qui n'ont pas encore adapté leur PAL au nouveau droit cantonal, il est clair que la voie de la dérogation n'est effectivement pas une solution durable pour permettre la réalisation de projets qui ne respecteraient pas les valeurs d'IBUS figurant dans la tabelle de conversion. Il n'empêche que ce moyen légal existe et peut être envisagé pour accorder des dérogations aux dispositions de la LATeC et du ReLATeC ou aux plans et à leur réglementation, à condition qu'elles soient justifiées par «des circonstances particulières et qu'elles ne portent pas atteinte à des intérêts prépondérants publics ou privés» (art. 148 al. 1 LATeC)" (Bulletin du Grand Conseil 2010, p. 1856).</w:t>
      </w:r>
    </w:p>
    <w:p>
      <w:r>
        <w:rPr>
          <w:b/>
        </w:rPr>
        <w:t>E. 4.4</w:t>
      </w:r>
    </w:p>
    <w:p>
      <w:r>
        <w:t>Les dispositions exceptionnelles ou dérogatoires, telles que l'art. 148 al. 1 LATeC,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3d/aa p. 114; 118 Ia 175 consid. 2d p. 178/179).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p. 53).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1C_44/2011 du 27 septembre 2011 consid. 4.2.2 et l'arrêt cité).</w:t>
      </w:r>
    </w:p>
    <w:p>
      <w:r>
        <w:rPr>
          <w:b/>
        </w:rPr>
        <w:t>E. 4.5</w:t>
      </w:r>
    </w:p>
    <w:p>
      <w:r>
        <w:t>En l'espèce, il n'est pas contesté que le projet litigieux respecte l'ancien indice d'utilisation du sol (IUS), mais dépasse le nouvel indice brut d'utilisation du sol (IBUS). Le Tribunal cantonal a cependant considéré que "les circonstances particulières" au sens de l'art. 148 al. 1 LATeC justifiaient l'octroi d'une dérogation. Il a d'abord relevé la courte période d'application de la table de conversion: l'usage de ladite table allait disparaître progressivement d'ici au 1er janvier 2015 (art. 175 al. 1 LATeC), au fur et à mesure que les communes auraient adapté leur planification au nouveau droit, en fixant concrètement l'IBUS applicable aux différentes zones. L'instance précédente a ensuite mis en avant le caractère spécial des situations dans lesquelles la table de conversion provoquait des résultats non voulus. Tel était le cas en l'occurrence: la réglementation communale applicable au projet litigieux imposait la construction de garages souterrains, soit l'intégration massive dans le bâtiment de surfaces utiles secondaires, qui n'entraient pas dans le calcul de l'ancien indice IUS; or, la prise en compte de la surface du garage souterrain était à l'origine du dépassement de l'indice IBUS. La mise en oeuvre de la table de conversion entraînait donc une diminution des possibilités de construire, qui n'avait pas été voulue par le législateur. Cette "circonstance particulière" avait conduit le Tribunal cantonal à confirmer l'octroi de la dérogation. Les juges cantonaux ont encore précisé qu'en adoptant un mécanisme de transformation automatique des IUS en IBUS par le biais d'une table de conversion, le législateur cantonal n'avait jamais voulu intervenir dans les planifications locales des communes en réduisant les possibilités de construire existantes: son seul but avait été de changer de système de calcul de l'indice afin de se conformer à l'accord intercantonal sur l'harmonisation de la terminologie dans le domaine des constructions (AIHC; RSF 710.7). Dès l'instant où il était apparu, à l'usage, que la mise en oeuvre de la table de conversion pouvait, dans certains cas, entraîner une diminution sensible des possibilités de construire antérieurement autorisées par le calcul de l'IUS, une correction de ces distorsions involontaires s'imposait. Cependant, les restrictions involontaires des possibilités de construire découlant de ladite table ne concernaient pas tous les nouveaux bâtiments dès lors que, dans la plupart des cas, la conversion de l'IUS en IBUS fonctionnait à satisfaction; il n'y avait donc pas d'emploi systématique de la dérogation pour faire échec à la loi. Enfin, l'instance précédente a considéré que la dérogation ne portait pas atteinte à des intérêts prépondérants (art. 148 al. 1 LATeC): le bâtiment projeté ne dépassait pas l'ancien indice de 0,45 prévu par le PAD en vigueur, de sorte qu'aucun intérêt public ou privé ne s'opposait à sa démarche.</w:t>
      </w:r>
    </w:p>
    <w:p>
      <w:r>
        <w:rPr>
          <w:b/>
        </w:rPr>
        <w:t>E. 4.6</w:t>
      </w:r>
    </w:p>
    <w:p>
      <w:r>
        <w:t>Face à cette argumentation, les recourants se contentent, de façon réitérée, de critiquer la pratique dérogatoire systématique qui serait appliquée par les autorités compétentes pour l'octroi des permis de construire et que le Tribunal cantonal aurait avalisée: par le recours systématique à l'institution de la dérogation pour les dépassements de l'indice IBUS, la compétence de fixer la limite de l'indice serait transférée dans une procédure de permis de construire - qui relève de la compétence du préfet -, ce qui serait une violation grave de la LATeC. Partant, les recourants ne contestent pas vraiment que les conditions de l'octroi de la dérogation ne seraient pas réunies et ne font valoir aucune atteinte à un intérêt public prépondérant. Leurs critiques ne parviennent pas à démontrer le caractère arbitraire de l'argumentation des juges cantonaux. En effet, il ressort du considérant précédent que le Tribunal cantonal a admis, de manière soutenable, que la dérogation avait été valablement accordée, dans la mesure où les conditions de son octroi étaient remplies. Contrairement à ce que soutiennent les recourants, l'instance précédente ne s'est donc pas limitée à examiner si le projet litigieux respectait ou non l'ancien indice IUS. Par conséquent, le Tribunal cantonal n'a pas versé dans l'arbitraire en confirmant l'octroi d'une dérogation, au motif notamment qu'une solution différente provoquerait des résultats non voulus par le législateur. Au demeurant, quoi qu'en disent les recourants, la compétence pour accorder des dérogations appartient à l'autorité désignée pour délivrer le permis de construire (art. 147 LATeC), à savoir le préfet (art. 139 al. 1 LATeC). De même, les recourants, qui ne contestent pas qu'il n'a jamais été dans l'intention du législateur cantonal d'imposer à un administré une solution tendant à la réduction de sa faculté de bâtir, ne peuvent reprocher à l'autorité précédente de ne pas avoir vérifié si l'intimé pouvait modifier - et donc réduire - son projet de manière à ce qu'il respecte le nouvel IBUS. Mal fondé, le grief doit être écarté.</w:t>
      </w:r>
    </w:p>
    <w:p>
      <w:r>
        <w:rPr>
          <w:b/>
        </w:rPr>
        <w:t>E. 5</w:t>
      </w:r>
    </w:p>
    <w:p>
      <w:r>
        <w:t>Il s'ensuit que le recours est rejeté. Les recourants, qui succombent, doivent supporter les frais judiciaires ( art. 65 et 66 LTF ). Ils verseront en outre une indemnité à titre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