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456/2018 vom 25. Juli 2019</w:t>
      </w:r>
    </w:p>
    <w:p>
      <w:r>
        <w:t>Bundesgericht, 2019-07-25, FR</w:t>
      </w:r>
    </w:p>
    <w:p>
      <w:r>
        <w:rPr>
          <w:b/>
        </w:rPr>
        <w:t xml:space="preserve">Quelle: </w:t>
      </w:r>
      <w:r>
        <w:t>https://mcp.opencaselaw.ch/entscheid/bger_1C_456_2018</w:t>
      </w:r>
    </w:p>
    <w:p>
      <w:r>
        <w:t>FR: TF 1C 456/2018 du 25 juillet 2019</w:t>
      </w:r>
    </w:p>
    <w:p>
      <w:r>
        <w:t>IT: TF 1C 456/2018 del 25 luglio 2019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propriétaires voisins du projet litigieux, ils sont particulièrement touchés par l'arrêt attaqué et peuvent ainsi se prévaloir d'un intérêt digne de protection à son annulation. Ils ont donc en principe qualité pour agir au sens de l' art. 89 al. 1 LTF . Les autres conditions de recevabilité du recours en matière de droit public sont réunies, si bien qu'il y a lieu d'entrer en matière.</w:t>
      </w:r>
    </w:p>
    <w:p>
      <w:r>
        <w:rPr>
          <w:b/>
        </w:rPr>
        <w:t>E. 2</w:t>
      </w:r>
    </w:p>
    <w:p>
      <w:r>
        <w:t>Invoquant en premier lieu une violation de leur droit d'être entendus, les recourants se plaignent du refus de la cour cantonale de procéder à une inspection locale.</w:t>
      </w:r>
    </w:p>
    <w:p>
      <w:r>
        <w:rPr>
          <w:b/>
        </w:rPr>
        <w:t>E. 2.1</w:t>
      </w:r>
    </w:p>
    <w:p>
      <w:r>
        <w:t>Le droit d'être entendu garanti par l' art. 29 al. 2 Cst. comprend notamment le droit pour l'intéressé de produire des preuves pertinentes, d'obtenir qu'il soit donné suite à ses offres de preuves pertinentes, lorsque cela est de nature à influer sur la décision à rendre ( ATF 140 I 285 consid. 6.3.1 p. 299;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137 III 208 consid. 2.2 p. 210).</w:t>
      </w:r>
    </w:p>
    <w:p>
      <w:r>
        <w:rPr>
          <w:b/>
        </w:rPr>
        <w:t>E. 2.2</w:t>
      </w:r>
    </w:p>
    <w:p>
      <w:r>
        <w:t>En l'occurrence, la cour cantonale a estimé que les photographies figurant au dossier, ainsi que les informations et prises de vue aériennes disponibles sur le Guichet cartographique cantonal, librement consultable sur internet (www.geo.vd.ch), suffisaient à la renseigner quant au bâti existant dans le quartier, de sorte qu'il n'y avait pas matière à mettre en oeuvre une inspection locale pour examiner le respect de la clause d'esthétique et d'intégration, prévue par l'art. 86 de la loi vaudoise sur l'aménagement du territoire et les constructions (LATC; RS/VD 700.11; cf. arrêt entrepris, consid. 4b p. 7).</w:t>
      </w:r>
    </w:p>
    <w:p>
      <w:r>
        <w:rPr>
          <w:b/>
        </w:rPr>
        <w:t>E. 2.3</w:t>
      </w:r>
    </w:p>
    <w:p>
      <w:r>
        <w:t>En tant que les recourants estiment qu'une telle mesure d'instruction s'imposait pour examiner l'élévation des bâtiments avoisinants, il apparaît toutefois que la cour cantonale a pu se fonder sur les photographies produites au dossier, qui présentent un comparatif des volumes entre la construction projetée et les villas voisines, permettant d'apprécier à satisfaction la différence de hauteur des bâtiments. En outre, la conformité du projet à la réglementation du PPA, en particulier s'agissant du nombre de niveaux habitables autorisés et de sa hauteur, a pu être déterminée sur la base des plans établis (cf. arrêt entrepris, consid. 2 p. 3 ss). Les recourants ne précisent par ailleurs pas quelles étaient selon eux les caractéristiques architecturales du quartier - autres que la hauteur des bâtiments - justifiant que la cour cantonale se rendît sur place pour juger de l'intégration du projet litigieux au milieu bâti. Cela étant, il peut être déduit de l'arrêt entrepris que la consultation du Guichet cartographique cantonal n'avait permis que de confirmer que le quartier ne présentait pas d'homogénéité ou de caractéristique particulière, ni ne comportait de construction figurant au recensement architectural cantonal. En outre, s'agissant de l'esthétique proprement dite de la construction prévue, telle qu'elle ressortait des plans, la cour cantonale a considéré que celle-ci ne présentait aucun élément choquant ni aucune particularité qui justifiait de considérer que la Municipalité avait abusé de son pouvoir d'appréciation en la matière (cf. arrêt entrepris, consid. 4b p. 7 s.).</w:t>
      </w:r>
    </w:p>
    <w:p>
      <w:r>
        <w:rPr>
          <w:b/>
        </w:rPr>
        <w:t>E. 2.4</w:t>
      </w:r>
    </w:p>
    <w:p>
      <w:r>
        <w:t>Au vu de ce qui précède, on ne voit pas que le refus de mettre en oeuvre une inspection locale procéderait d'une appréciation anticipée des preuves qui serait entachée d'arbitraire. La mesure d'instruction étant dépourvue de pertinence, les recourants ne sauraient soutenir au surplus que l'absence d'urgence de la construction projetée justifiait néanmoins d'y donner suite. Le grief relatif à la violation du droit d'être entendu, en lien avec le refus de procéder à l'inspection locale requise, doit être écarté.</w:t>
      </w:r>
    </w:p>
    <w:p>
      <w:r>
        <w:rPr>
          <w:b/>
        </w:rPr>
        <w:t>E. 3</w:t>
      </w:r>
    </w:p>
    <w:p>
      <w:r>
        <w:t>Les recourants invoquent ensuite un déni de justice formel. A bien les comprendre, ils se plaignent du fait que la cour cantonale se soit référée, s'agissant du respect de la clause d'esthétique et d'intégration contenue à l'art. 86 LATC, au large pouvoir d'appréciation de la Municipalité, alors que cette autorité ne s'était pas prononcée sur cette question. Il apparaît toutefois qu'en considérant dans sa décision du 17 janvier 2018, que les habitations projetées "ne contrastaient pas avec l'environnement bâti", la Municipalité s'était effectivement prononcée sur la violation de l'art. 86 LATC invoquée par les recourants dans leur opposition (cf. décision du 17 janvier 2018, p. 1). Cela étant, les recourants ne démontrent pas avoir fait valoir devant l'instance cantonale le grief tiré d'une motivation insuffisante de la décision municipale. Il ressort au surplus clairement des motifs développés par la cour cantonale en lien avec l'art. 86 LATC, tels que résumés ci-dessus (cf. consid. 2.3), qu'à ses yeux, l'autorité communale n'avait pas abusé de son pouvoir d'appréciation en considérant que la disposition précitée n'était pas susceptible de faire obstacle à la délivrance du permis de construire litigieux. Le grief doit dès lors être rejeté.</w:t>
      </w:r>
    </w:p>
    <w:p>
      <w:r>
        <w:rPr>
          <w:b/>
        </w:rPr>
        <w:t>E. 4</w:t>
      </w:r>
    </w:p>
    <w:p>
      <w:r>
        <w:t>Les recourants invoquent une application arbitraire de l'art. 8 al. 2 RPPA, qui n'autorise, dans la zone en question, que "les constructions en contiguïté pour l'habitation groupée". Se prévalant dans ce contexte d'une constatation arbitraire des faits ( art. 105 al. 2 LTF ), ils soutiennent que le projet ne concerne pas la construction de quatre villas contiguës, mais d'un vaste bâtiment formant un seul bloc collectif.</w:t>
      </w:r>
    </w:p>
    <w:p>
      <w:r>
        <w:rPr>
          <w:b/>
        </w:rPr>
        <w:t>E. 4.1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IV 305 consid. 1.2 p. 308 s.; 140 III 16 consid. 2.1 p. 18). En outre, 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142 I 135 consid. 1.6 p. 144 s.). A défaut, il n'est pas possible de tenir compte d'un état de fait divergent de celui qui est contenu dans l'arrêt attaqué ( ATF 143 V 19 consid. 2.2 p. 23; 141 IV 416 consid. 4 p. 421). En particulier, le Tribunal fédéral n'entre pas en matière sur des critiques appellatoires concernant l'établissement des faits ou l'appréciation des preuves opérés par l'autorité précédente ( ATF 137 II 353 consid. 5.1 p. 356; cf. aussi ATF 140 III 264 consid. 2.3).</w:t>
      </w:r>
    </w:p>
    <w:p>
      <w:r>
        <w:rPr>
          <w:b/>
        </w:rPr>
        <w:t>E. 4.2</w:t>
      </w:r>
    </w:p>
    <w:p>
      <w:r>
        <w:t>Pour retenir que la construction projetée constituait un habitat groupé, tel que l'art. 8 al. 2 RPPA le prévoit, et non un immeuble d'habitation collective, la cour cantonale s'est référée à la jurisprudence cantonale, qui préconise, afin de distinguer la présence d'un seul bâtiment de celle de plusieurs bâtiments juxtaposés, jumelés ou mitoyens, de se baser sur un faisceau d'indices, tels que notamment la destination respective des constructions en cause, leur liaison fonctionnelle avec d'éventuels locaux communs, la conception architecturale et l'apparence extérieure (cf. arrêt AC.2016.0214 du 16 février 2018 consid. 4b). Elle a ainsi constaté qu'en l'occurrence, les plans déposés à l'appui de la demande de permis de construire représentaient quatre habitations séparées s'élevant chacune sur trois niveaux, disposant chacune d'une entrée propre (en façade est), ainsi que d'une terrasse et d'un jardin privatif, délimité par des haies, du côté ouest. Chaque logement disposait en outre de son propre sous-sol comprenant une cave et un local technique (cf. arrêt entrepris, consid. 3b p. 6).</w:t>
      </w:r>
    </w:p>
    <w:p>
      <w:r>
        <w:rPr>
          <w:b/>
        </w:rPr>
        <w:t>E. 4.3</w:t>
      </w:r>
    </w:p>
    <w:p>
      <w:r>
        <w:t>A cette appréciation, les recourants se bornent à opposer que le bâtiment projeté se présenterait comme un bloc coiffé d'un toit unique à deux pans, dépourvu du moindre décrochement de façade et de tout autre élément architectural propre à suggérer la présence de plusieurs corps de bâtiment accolés. Une telle démarche, appellatoire, est irrecevable dans le recours en matière de droit public. On relèvera au demeurant qu'en tant qu'elle se fonde sur l'existence d'habitations séparées, dépourvues de locaux communs, l'appréciation de la cour cantonale quant à la qualification d'habitat groupé est exempte d'arbitraire.</w:t>
      </w:r>
    </w:p>
    <w:p>
      <w:r>
        <w:rPr>
          <w:b/>
        </w:rPr>
        <w:t>E. 5</w:t>
      </w:r>
    </w:p>
    <w:p>
      <w:r>
        <w:t>Il s'ensuit que le recours doit être rejeté dans la mesure où il est recevable. Les frais judiciaires sont mis à la charge des recourants, débiteurs solidaires ( art. 66 al. 1 et 5 LTF ). Les intimés E.E.________ et F.E.________, n'ont pas droit à des dépens, dans la mesure où ils ne se sont pas prononcés. Il en va de même de H.________ et G.________, qui ont procédé sans l'assistance d'un avocat ( art. 68 al. 1 et 2 LTF ; cf. aussi ATF 133 III 439 consid. 4 p. 446), et de la Municipalité, qui a agi dans le cadre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