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1C_455/2019 vom 19. Juni 2020</w:t>
      </w:r>
    </w:p>
    <w:p>
      <w:r>
        <w:t>Bundesgericht, 2020-06-19, DE</w:t>
      </w:r>
    </w:p>
    <w:p>
      <w:r>
        <w:rPr>
          <w:b/>
        </w:rPr>
        <w:t xml:space="preserve">Quelle: </w:t>
      </w:r>
      <w:r>
        <w:t>https://mcp.opencaselaw.ch/entscheid/bger_1C_455_2019</w:t>
      </w:r>
    </w:p>
    <w:p>
      <w:r>
        <w:t>FR: TF 1C_455/2019 du 19 juin 2020</w:t>
      </w:r>
    </w:p>
    <w:p>
      <w:r>
        <w:t>IT: TF 1C_455/2019 del 19 giugno 2020</w:t>
      </w:r>
    </w:p>
    <w:p>
      <w:pPr>
        <w:pStyle w:val="Heading2"/>
      </w:pPr>
      <w:r>
        <w:t>Erwägungen</w:t>
      </w:r>
    </w:p>
    <w:p>
      <w:r>
        <w:rPr>
          <w:b/>
        </w:rPr>
        <w:t>E. 1.1</w:t>
      </w:r>
    </w:p>
    <w:p>
      <w:r>
        <w:t>Das Bundesgericht prüft von Amtes wegen und mit freier Kognition, ob eine bei ihm eingereichte Beschwerde zulässig ist ( Art. 29 Abs. 1 BGG ; BGE 141 III 395 E. 2.1 mit Hinweisen).</w:t>
      </w:r>
    </w:p>
    <w:p>
      <w:r>
        <w:rPr>
          <w:b/>
        </w:rPr>
        <w:t>E. 1.2</w:t>
      </w:r>
    </w:p>
    <w:p>
      <w:r>
        <w:t>Gegen den angefochtenen, kantonal letztinstanzlichen Entscheid betreffend eine öffentlich-rechtliche Angelegenheit steht grundsätzlich die Beschwerde in öffentlich-rechtlichen Angelegenheiten an das Bundesgericht offen ( Art. 82 lit. a, Art. 83, Art. 86 Abs. 1 lit. d und Art. 90 BGG ).</w:t>
      </w:r>
    </w:p>
    <w:p>
      <w:r>
        <w:t>Nach Art. 89 Abs. 1 lit. c BGG ist zur Beschwerde in öffentlich-rechtlichen Angelegenheiten nur berechtigt, wer ein schutzwürdiges Interesse an der Aufhebung oder Änderung des angefochtenen Entscheids hat. Dieses Interesse muss nicht nur bei der Beschwerdeeinreichung, sondern auch noch im Zeitpunkt der Urteilsfällung aktuell und praktisch sein. Fällt das aktuelle Interesse im Verlaufe des Verfahrens dahin, wird die Sache als erledigt erklärt. Fehlte es schon bei Beschwerdeeinreichung, ist auf die Beschwerde nicht einzutreten ( BGE 142 I 135 E. 1.3.1 S. 143 mit Hinweisen).</w:t>
      </w:r>
    </w:p>
    <w:p>
      <w:r>
        <w:rPr>
          <w:b/>
        </w:rPr>
        <w:t>E. 1.3</w:t>
      </w:r>
    </w:p>
    <w:p>
      <w:r>
        <w:t>Die Streitgegenstand bildende Fristverlängerung bis Ende 2018 war bereits abgelaufen, als die Beschwerdeführer ihre Beschwerde am 4. September 2019 einreichten. Sie haben daher an der Überprüfung der Rechtmässigkeit dieser Fristverlängerung kein aktuelles Rechtsschutzinteresse (vgl. BGE 131 II 670 E. 1.2 S. 673). Auf ihr Hauptbegehren, das Gesuch der D.________ vom 23. Juni 2017 um Fristverlängerung bis zum 31. Oktober 2018 abzuweisen, ist daher nicht einzutreten.</w:t>
      </w:r>
    </w:p>
    <w:p>
      <w:r>
        <w:rPr>
          <w:b/>
        </w:rPr>
        <w:t>E. 1.4</w:t>
      </w:r>
    </w:p>
    <w:p>
      <w:r>
        <w:t>Entgegen der Meinung der Beschwerdeführer kann daraus, dass der angefochtene Gemeinderatsbeschluss vom 19. April 2018 weitere Fristerstreckungen über den Endtermin von Ende 2018 vorbehält, kein Rechtsanspruch auf solche Erstreckungen abgeleitet werden, da jede weitere Erstreckung einer neuen Bewilligung bedarf. Diese darf nur erteilt werden, wenn die entsprechenden Voraussetzungen gegeben sind. Die Beschwerdeführer haben die spätere Bewilligung der Fristverlängerung bis Ende 2019 in einem separaten Verfahren angefochten. Diese Fristverlängerung bildet daher gemäss der zutreffenden Meinung der Vorinstanz nicht Streitgegenstand des vorliegenden Verfahrens. Im Übrigen ist diese Frist zwischenzeitlich ebenfalls abgelaufen.</w:t>
      </w:r>
    </w:p>
    <w:p>
      <w:r>
        <w:rPr>
          <w:b/>
        </w:rPr>
        <w:t>E. 2.1</w:t>
      </w:r>
    </w:p>
    <w:p>
      <w:r>
        <w:t>Die Vorinstanz erwog, soweit die Beschwerdeführer mit den Anträgen in Ziff. 2 lit. a - f ihrer Verwaltungsgerichtsbeschwerde um Klärung aufgeworfener Fragen ersuchten, stellten sie Feststellungsbegehren. Da vorliegend Leistungsbegehren ohne weiteres möglich seien, sei auf die Feststellungsbegehren aufgrund der Subsidiarität zu Leistungsbegehren nicht einzutreten.</w:t>
      </w:r>
    </w:p>
    <w:p>
      <w:r>
        <w:rPr>
          <w:b/>
        </w:rPr>
        <w:t>E. 2.2</w:t>
      </w:r>
    </w:p>
    <w:p>
      <w:r>
        <w:t>Die Beschwerdeführer rügen, diese vorinstanzliche Erwägung sei willkürlich, weil die mit ihrer Verwaltungsgerichtsbeschwerde vorgebrachten Feststellungsbegehren nicht durch Leistungsbegehren obsolet geworden seien. So bildeten die geforderten Sachverhaltsfeststellungen und juristischen Erwägungen eine unverzichtbare Grundlage für einen rechtlich korrekten Gerichtsentscheid. Entsprechend verlangen die Beschwerdeführer mit ihrem Eventualantrag, die Vorinstanz sei zur Vornahme der Klärungen gemäss den Anträgen Ziff. 2 lit. a - f der Verwaltungsgerichtsbeschwerde zu verpflichten.</w:t>
      </w:r>
    </w:p>
    <w:p>
      <w:r>
        <w:rPr>
          <w:b/>
        </w:rPr>
        <w:t>E. 2.3</w:t>
      </w:r>
    </w:p>
    <w:p>
      <w:r>
        <w:t>Bezüglich dieses Eventualantrags haben die Beschwerdeführer ein aktuelles Rechtsschutzinteresse, weil die gestellten Feststellungsbegehren sich inhaltlich nicht auf die Zeit der ursprünglich Streitgegenstand bildenden Fristverlängerung beschränken.</w:t>
      </w:r>
    </w:p>
    <w:p>
      <w:r>
        <w:rPr>
          <w:b/>
        </w:rPr>
        <w:t>E. 2.4</w:t>
      </w:r>
    </w:p>
    <w:p>
      <w:r>
        <w:t>Wer ein schutzwürdiges rechtliches oder tatsächliches Interesse nachweist, kann den Erlass einer Feststellungsverfügung über den Bestand, den Nichtbestand oder den Umfang öffentlichrechtlicher Rechte oder Pflichten verlangen. Die Feststellungsverfügung muss sich auf konkrete Rechte oder Pflichten beziehen und kann nicht abstrakte, theoretische Rechtsfragen zum Gegenstand haben. Sie ist zudem nur zulässig, wenn das schutzwürdige Interesse nicht ebensogut, bzw. in zumutbarer Weise, mit einer rechtsgestaltenden Verfügung gewahrt werden kann ( BGE 126 II 300 E. 2c S. 303; 137 II 199 E. 6.5 S. 218 f.; Urteile 9C_152/2007 vom 19. Oktober 2007 E. 3.2; 1C_6/2007 vom 22. August 2007 E. 3.3; je mit Hinweisen).</w:t>
      </w:r>
    </w:p>
    <w:p>
      <w:r>
        <w:rPr>
          <w:b/>
        </w:rPr>
        <w:t>E. 2.5</w:t>
      </w:r>
    </w:p>
    <w:p>
      <w:r>
        <w:t>Vorliegend stellten die Beschwerdeführer in Ziff. 2 lit. a - e ihrer Verwaltungsgerichtsbeschwerde bloss theoretische Rechtsfragen zum Verhältnis des vorliegenden Verfahrens zu demjenigen betreffend das (zweite) Fristverlängerungsgesuch vom 26. Oktober 2018, zu einer Interessenabwägung der sich entgegenstehenden privaten und öffentlichen Interessen sowie der möglichen Rechtsmissbräuchlichkeit des (ersten) Fristerstreckungsgesuchs vom 23. Juni 2017 angesichts der Ankündigung eines "neuen Vertrages". Die Beantwortung solcher abstrakter Fragen, die keine konkreten Rechte und Pflichten zum Gegenstand haben, können nicht Gegenstand einer Feststellungsverfügung sein. Die Vorinstanz verletzte daher kein Bundesrecht, wenn sie die verlangten theoretischen Abklärungen nicht vornahm. Damit kann offenbleiben, ob die Beschwerdeführer ein allfälliges schutzwürdige Feststellungsinteresse in zumutbarer Weise mit dem Antrag auf Erlass einer rechtsgestaltenden Verfügung hätten wahren können, wie dies die Vorinstanz annahm.</w:t>
      </w:r>
    </w:p>
    <w:p>
      <w:r>
        <w:t>In Ziff. 2 lit. e und f ihrer Verwaltungsgerichtsbeschwerde ersuchten die Beschwerdeführer zudem um Auskünfte darüber, wie sie geltend gemachte Rechtsansprüche gegenüber der Beschwerdegegnerin durchsetzen können. Die damit verlangten allgemeinen Rechtsauskünfte bezüglich ihres künftigen rechtlichen Vorgehens durfte die Vorinstanz nicht erteilen, da ihr als Entscheidungsinstanz nicht die Funktion einer Rechtsberatungsstelle zukommt (vgl. BGE 146 III 47 E. 4.2.3 S. 54; Urteil 5A_754/2019 vom 26. September 2019 E. 3). Demnach ist der Eventualantrag der Beschwerdeführer, das Verwaltungsgericht anzuweisen, die in den Anträgen Ziff. 2 lit. a - f der Verwaltungsgerichtsbeschwerde verlangten Klärungen vorzunehmen, abzuweisen.</w:t>
      </w:r>
    </w:p>
    <w:p>
      <w:r>
        <w:rPr>
          <w:b/>
        </w:rPr>
        <w:t>E. 3</w:t>
      </w:r>
    </w:p>
    <w:p>
      <w:r>
        <w:t>Die Vorinstanz auferlegte dem Verfahrensausgang entsprechend die Verfahrenskosten (Gerichtsgebühr, Kanzleikosten und Barauslagen) von insgesamt Fr. 2'500.-- den Beschwerdeführern und verpflichtete diese, der Gemeinde Wangen und der Beschwerdegegnerin Parteientschädigungen von Fr. 1'500.-- bzw. Fr. 3'000.-- zu bezahlen.</w:t>
      </w:r>
    </w:p>
    <w:p>
      <w:r>
        <w:t>Die Beschwerdeführer rügen sinngemäss, die Vorinstanz habe bei der Verlegung der Gerichts- und Parteikosten das ihr zustehende Ermessen überschritten.</w:t>
      </w:r>
    </w:p>
    <w:p>
      <w:r>
        <w:t>Auf diese Rüge ist nicht einzutreten, weil die Beschwerdeführer nicht beziffern, welche Beträge sie für angemessen halten und sich dies auch nicht aus der Begründung ergibt (vgl. BGE 143 III 111 E. 1.2). Zudem wird die Willkürrüge nicht rechtsgenüglich begründet (vgl. BGE 137 V 57 E. 1.3 S. 60 mit Hinweisen).</w:t>
      </w:r>
    </w:p>
    <w:p>
      <w:r>
        <w:rPr>
          <w:b/>
        </w:rPr>
        <w:t>E. 4</w:t>
      </w:r>
    </w:p>
    <w:p>
      <w:r>
        <w:t>Nach dem Gesagten ist die Beschwerde abzuweisen, soweit darauf einzutreten ist. Bei diesem Ausgang des Verfahrens sind die Gerichtskosten den unterliegenden Beschwerdeführern aufzuerlegen ( Art. 66 Abs. 1 BGG ). Diese haben der privaten Beschwerdegegnerin unter solidarischer Haftbarkeit eine angemessene Parteientschädigung auszurichten ( Art. 68 Abs. 1, 2 und 4 BGG i.V.m. Art. 66 Abs. 5 BGG ). Diese wird als Gesamtbetrag festgesetzt, in dem auch die Mehrwertsteuer enthalten ist (Art. 12 des Parteientschädigungsreglements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