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1C_455/2014 vom 2. Oktober 2014</w:t>
      </w:r>
    </w:p>
    <w:p>
      <w:r>
        <w:t>Bundesgericht, 2014-10-02, FR</w:t>
      </w:r>
    </w:p>
    <w:p>
      <w:r>
        <w:rPr>
          <w:b/>
        </w:rPr>
        <w:t xml:space="preserve">Quelle: </w:t>
      </w:r>
      <w:r>
        <w:t>https://mcp.opencaselaw.ch/entscheid/bger_1C_455_2014</w:t>
      </w:r>
    </w:p>
    <w:p>
      <w:r>
        <w:t>FR: TF 1C_455/2014 du 2 octobre 2014</w:t>
      </w:r>
    </w:p>
    <w:p>
      <w:r>
        <w:t>IT: TF 1C_455/2014 del 2 ottobre 2014</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 il ne s'agit en particulier pas de délits politiques - et de la nature de la transmission envisagée, portant sur la documentation relative à six (selon l'arrêt attaqué) ou sept (selon les recourantes) comptes bancaires déterminés, le cas ne revêt en soi aucune importance particulière.</w:t>
      </w:r>
    </w:p>
    <w:p>
      <w:r>
        <w:rPr>
          <w:b/>
        </w:rPr>
        <w:t>E. 1.3</w:t>
      </w:r>
    </w:p>
    <w:p>
      <w:r>
        <w:t>Les recourantes tentent de démontrer le contraire en émettant des doutes sur les motivations réelles de l'autorité requérante, laquelle aurait fait l'objet de pressions politiques et médiatiques et aurait vainement tenté de participer à la procédure pénale en Suisse. La mise en prévention aurait suivi le refus des autorités suisses sur ce point, puis la remise de l'acte d'accusation par la partie plaignante. Les recourantes évoquent des motifs d'ordre politique (notamment la mise en cause d'anciens ministres) et financier, ainsi que des vices graves, sans toutefois expliciter ces allégations. Elles ne démontrent pas que la démarche de l'Etat requérant serait un pur prétexte. En dehors des cas visés à l' art. 2 EIMP , l'autorité suisse d'entraide n'a pas à s'interroger sur les motivations de l'Etat étranger. Les recourantes se réfèrent par ailleurs au jugement de la Cour des affaires pénales du TPF pour remettre en cause les accusations de l'Etat requérant, mais, même étayée par une décision rendue en Suisse, il s'agit là d'une argumentation à décharge dont il n'est pas tenu compte dans le cadre d'une procédure d'entraide judiciaire. Le déroulement de la procédure d'entraide (notamment le prononcé des ordonnances de clôture après le prononcé du jugement du première instance) ne comporte rien qui puisse justifier une entrée en matière.</w:t>
      </w:r>
    </w:p>
    <w:p>
      <w:r>
        <w:t>Les recourantes relèvent l'importance des montants détournés ainsi que des sommes saisies en Suisse. Elles n'expliquent toutefois pas en quoi - alors que cette démonstration leur incombe également - il se justifierait de faire exception au principe selon lequel, en procédure d'entraide judiciaire, les mesures de séquestre provisoire ne causent pas de préjudice irréparable au sens de l' art. 93 al. 1 let. a et al. 2 LTF . On ne voit d'ailleurs pas en quoi l'application faite par le TPF des art. 74a EIMP et 33a OEIMP pourrait constituer une question de principe. Il n'est pas non plus prétendu que la Cour des plaintes se serait écartée, sur un point ou un autre, de la pratique suivie jusque-là.</w:t>
      </w:r>
    </w:p>
    <w:p>
      <w:r>
        <w:rPr>
          <w:b/>
        </w:rPr>
        <w:t>E. 2</w:t>
      </w:r>
    </w:p>
    <w:p>
      <w:r>
        <w:t>Sur le vu de ce qui précède, le recours est irrecevable.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