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1C_454/2016 vom 5. Oktober 2016</w:t>
      </w:r>
    </w:p>
    <w:p>
      <w:r>
        <w:t>Bundesgericht, 2016-10-05, DE</w:t>
      </w:r>
    </w:p>
    <w:p>
      <w:r>
        <w:rPr>
          <w:b/>
        </w:rPr>
        <w:t xml:space="preserve">Quelle: </w:t>
      </w:r>
      <w:r>
        <w:t>https://mcp.opencaselaw.ch/entscheid/bger_1C_454_2016</w:t>
      </w:r>
    </w:p>
    <w:p>
      <w:r>
        <w:t>FR: TF 1C_454/2016 du 5 octobre 2016</w:t>
      </w:r>
    </w:p>
    <w:p>
      <w:r>
        <w:t>IT: TF 1C_454/2016 del 5 ottobre 2016</w:t>
      </w:r>
    </w:p>
    <w:p>
      <w:pPr>
        <w:pStyle w:val="Heading2"/>
      </w:pPr>
      <w:r>
        <w:t>Erwägungen</w:t>
      </w:r>
    </w:p>
    <w:p>
      <w:r>
        <w:rPr>
          <w:b/>
        </w:rPr>
        <w:t>E. 1.1</w:t>
      </w:r>
    </w:p>
    <w:p>
      <w:r>
        <w:t>Gemäss Art. 108 BGG entscheidet der Präsident der Abteilung im vereinfachten Verfahren über Nichteintreten auf offensichtlich unzulässige Beschwerden bzw. Nichteintreten auf Beschwerden, die offensichtlich keine hinreichende Begründung (Art. 42 Abs. 2) enthalten (Abs. 1 lit. a und b). Die Begründung des Entscheids beschränkt sich auf eine kurze Angabe des Unzulässigkeitsgrundes (Abs. 3).</w:t>
      </w:r>
    </w:p>
    <w:p>
      <w:r>
        <w:rPr>
          <w:b/>
        </w:rPr>
        <w:t>E. 1.2</w:t>
      </w:r>
    </w:p>
    <w:p>
      <w:r>
        <w:t>Nach Art. 93 Abs. 2 BGG sind auf dem Gebiet der internationalen Rechtshilfe in Strafsachen Zwischenentscheide nicht anfechtbar. Vorbehalten bleiben Beschwerden gegen Entscheide über die Auslieferungshaft sowie über die Beschlagnahme von Vermögenswerten und Wertgegenständen, sofern die Voraussetzungen von Absatz 1 erfüllt sind.</w:t>
      </w:r>
    </w:p>
    <w:p>
      <w:r>
        <w:t>Der vorinstanzliche Entscheid schliesst das Rechtshilfeverfahren nicht ab. Er stellt einen Zwischenentscheid dar. Da er weder eine Auslieferungshaft noch eine Beschlagnahme von Vermögenswerten und Wertgegenständen betrifft, ist er gemäss Art. 93 Abs. 2 BGG nicht anfechtbar.</w:t>
      </w:r>
    </w:p>
    <w:p>
      <w:r>
        <w:rPr>
          <w:b/>
        </w:rPr>
        <w:t>E. 1.3</w:t>
      </w:r>
    </w:p>
    <w:p>
      <w:r>
        <w:t>Auf die Beschwerde könnte zudem aus folgendem Grund nicht eingetreten werden.</w:t>
      </w:r>
    </w:p>
    <w:p>
      <w:r>
        <w:t>Nach Art. 84 Abs. 1 BGG ist gegen einen Entscheid auf dem Gebiet der internationalen Rechtshilfe in Strafsachen die Beschwerde nur zulässig, wenn er eine Auslieferung, eine Beschlagnahme, eine Herausgabe von Gegenständen oder Vermögenswerten oder eine Übermittlung von Informationen aus dem Geheimbereich betrifft und es sich um einen besonders bedeutenden Fall handelt.</w:t>
      </w:r>
    </w:p>
    <w:p>
      <w:r>
        <w:t>Gemäss Art. 42 Abs. 2 BGG ist in der Begründung der Beschwerde in gedrängter Form darzulegen, inwiefern der angefochtene Entscheid Recht verletzt. Ist eine Beschwerde nur unter der Voraussetzung zulässig, dass ein besonders bedeutender Fall vorliegt, so ist auszuführen, warum diese Voraussetzung erfüllt ist.</w:t>
      </w:r>
    </w:p>
    <w:p>
      <w:r>
        <w:t>Der Beschwerdeführer legt nicht dar, weshalb hier ein besonders bedeutender Fall gegeben sein soll. Das ist auch nicht ohne Weiteres erkennbar. Die Beschwerde genügt daher den Begründungsanforderungen nicht.</w:t>
      </w:r>
    </w:p>
    <w:p>
      <w:r>
        <w:rPr>
          <w:b/>
        </w:rPr>
        <w:t>E. 2</w:t>
      </w:r>
    </w:p>
    <w:p>
      <w:r>
        <w:t>Auf die Beschwerde kann demnach nicht eingetreten werden.</w:t>
      </w:r>
    </w:p>
    <w:p>
      <w:r>
        <w:t>Bei diesem Ausgang des Verfahrens trägt der Beschwerdeführer die Gerichtskosten ( Art. 66 Abs. 1 Satz 1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