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1C_453/2009 vom 12. Januar 2010</w:t>
      </w:r>
    </w:p>
    <w:p>
      <w:r>
        <w:t>Bundesgericht, 2010-01-12, DE</w:t>
      </w:r>
    </w:p>
    <w:p>
      <w:r>
        <w:rPr>
          <w:b/>
        </w:rPr>
        <w:t xml:space="preserve">Quelle: </w:t>
      </w:r>
      <w:r>
        <w:t>https://mcp.opencaselaw.ch/entscheid/bger_1C_453_2009</w:t>
      </w:r>
    </w:p>
    <w:p>
      <w:r>
        <w:t>FR: TF 1C_453/2009 du 12 janvier 2010</w:t>
      </w:r>
    </w:p>
    <w:p>
      <w:r>
        <w:t>IT: TF 1C_453/2009 del 12 gennaio 2010</w:t>
      </w:r>
    </w:p>
    <w:p>
      <w:pPr>
        <w:pStyle w:val="Heading2"/>
      </w:pPr>
      <w:r>
        <w:t>Erwägungen</w:t>
      </w:r>
    </w:p>
    <w:p>
      <w:r>
        <w:rPr>
          <w:b/>
        </w:rPr>
        <w:t>E. 1</w:t>
      </w:r>
    </w:p>
    <w:p>
      <w:r>
        <w:t>Die Eintretensvoraussetzungen geben zu keinen Bemerkungen Anlass. Trotz des Umstandes, dass die Bestimmung von Art. 24b des Bundesgesetzes über Massnahmen zur Wahrung der inneren Sicherheit (BWIS; SR 120; vgl. BGE 134 I 125 S. 126) über die Anordnung von Rayonverboten nunmehr aufgehoben ist (Änderung des BWIS vom 3. Oktober 2008, AS 2009 5091), kann ein aktuelles Interesse an der Beschwerdeführung angenommen werden (vgl. zum Vorliegen von sog. Zeitgesetzen Urteil 1A.274/1999 vom 25. Februar 2000 E. 2; Urteil 1P.390/1992 vom 29. September 1993 E. 1; BGE 116 IV 258 ; je mit Hinweisen). Auf die Beschwerde kann eingetreten werden.</w:t>
      </w:r>
    </w:p>
    <w:p>
      <w:r>
        <w:rPr>
          <w:b/>
        </w:rPr>
        <w:t>E. 2</w:t>
      </w:r>
    </w:p>
    <w:p>
      <w:r>
        <w:t>Der Beschwerdeführer rügt in formeller Hinsicht eine Verletzung des rechtlichen Gehörs im Sinne von Art. 29 Abs. 2 BV , weil seinen Beweisanträgen keine Rechnung getragen worden ist.</w:t>
      </w:r>
    </w:p>
    <w:p>
      <w:r>
        <w:rPr>
          <w:b/>
        </w:rPr>
        <w:t>E. 2.1</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(vgl. BGE 127 I 54 E. 2b S. 56).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131 I 153 E. 3 S. 157; 130 II 425 E. 2.1 S. 428 ; 124 I 208 E. 4a S. 211, je mit Hinweisen).</w:t>
      </w:r>
    </w:p>
    <w:p>
      <w:r>
        <w:rPr>
          <w:b/>
        </w:rPr>
        <w:t>E. 2.2</w:t>
      </w:r>
    </w:p>
    <w:p>
      <w:r>
        <w:t>Im vorliegenden Fall bestreitet der Beschwerdeführer das ihm vorgehaltene Verhalten am 14. März 2009 in Sitten. Er hat diverse Beweise offeriert, um darzulegen, dass er sich an jenem 14. März 2009 nicht in Sitten aufgehalten hatte. Das Kantonsgericht hat diese Beweisanerbieten mit der Begründung für unerheblich erachtet, auf den Aufenthalt des Beschwerdeführers in Sitten komme es nicht an, weil das Rayonverbot in Anbetracht des Stadion-Verbots des SFL habe erlassen werden können. Im Folgenden ist vor diesem Hintergrund zu prüfen, ob das Kantonsgericht mit Blick auf Art. 29 Abs. 2 BV die Beweisbegehren des Beschwerdeführers zurückweisen durfte.</w:t>
      </w:r>
    </w:p>
    <w:p>
      <w:r>
        <w:rPr>
          <w:b/>
        </w:rPr>
        <w:t>E. 2.3</w:t>
      </w:r>
    </w:p>
    <w:p>
      <w:r>
        <w:t>Nach Art. 24b BWIS kann einer Person, die sich anlässlich von Sportveranstaltungen nachweislich an Gewalttätigkeiten gegen Personen oder Sachen beteiligt hat, der Aufenthalt in einem genau umschriebenen Rayon im Umfeld von Sportveranstaltungen zu bestimmten Zeiten für eine Höchstdauer von einem Jahr verboten werden. Zuständig hierfür ist nach Art. 24b Abs. 3 BWIS in erster Linie die Behörde des Wohnsitzkantons, in zweiter Linie die Behörde desjenigen Kantons, in dem sich die betroffene Person an der Gewalttätigkeit beteiligt hat.</w:t>
      </w:r>
    </w:p>
    <w:p>
      <w:r>
        <w:t>Im vorliegenden Fall hat der Kanton Basel-Stadt, wo der Beschwerdeführer unbestrittenermassen seinen Wohnsitz hat, keine Massnahmen getroffen. Gemäss Art. 24b Abs. 3 BWIS kann ein Rayonverbot daher von jenem Kanton angeordnet werden, in dem sich die betroffene Person an der Gewalttätigkeit beteiligt hat. Unter diesem Gesichtswinkel kann im vorliegenden Fall nicht auf die Vorkommnisse vom 7. Oktober 2007 in Aarau und das entsprechende Stadionverbot abgestellt werden. Wohl wird ein Stadionverbot von Sportverbänden gemäss Art. 21b der Verordnung zum BWIS (SR 120.2) als Nachweis eines gewalttätigen Verhaltens betrachtet. Doch setzt ein damit begründetes Rayonverbot voraus, dass das zugrunde liegende gewalttätige Verhalten sich in dem Kanton manifestierte, in dem das Rayonverbot angeordnet werden soll.</w:t>
      </w:r>
    </w:p>
    <w:p>
      <w:r>
        <w:t>Vor diesem Hintergrund konnte die Kantonspolizei Wallis ein Rayonverbot nur unter der Voraussetzung aussprechen, dass der Beschwerdeführer nachweislich an einer Gewalttätigkeit im Sinne von Art. 24b Abs. 1 BWIS beteiligt war. Bei dieser Sachlage kommt der Abklärung der tatsächlichen Verhältnisse in Sitten, insbesondere der Frage, ob sich der Beschwerdeführer an jenem 14. März 2009 in Sitten aufhielt und an Gewalttätigkeiten beteiligte, entscheidende Bedeutung zu.</w:t>
      </w:r>
    </w:p>
    <w:p>
      <w:r>
        <w:t>Die Beweisofferten des Beschwerdeführers zielten im Wesentlichen auf die Abklärung eben dieser Fragen hin. Sie durften daher weder als unerheblich betrachtet noch in antizipierter Beweiswürdigung als nicht erforderlich zurückgewiesen werden. Indem das Kantonsgericht den Beschwerdeführer nicht zum Beweis zugelassen hatte, hat es dessen Anspruch auf rechtliches Gehör gemäss Art. 29 Abs. 2 BV verletzt. Die Beschwerde erweist sich daher in diesem Punkte als begründet.</w:t>
      </w:r>
    </w:p>
    <w:p>
      <w:r>
        <w:rPr>
          <w:b/>
        </w:rPr>
        <w:t>E. 3</w:t>
      </w:r>
    </w:p>
    <w:p>
      <w:r>
        <w:t>Die Verletzung von Art. 29 Abs. 2 BV führt zur Gutheissung der Beschwerde, zur Aufhebung des angefochtenen Entscheids und zur Rückweisung der Sache an das Kantonsgericht zu neuer Beurteilung. Bei dieser Sachlage ist auf die materiellen Rügen nicht einzugehen. Entsprechend dem Ausgang des Verfahrens werden keine Kosten erhoben ( Art. 66 Abs. 1 und 4 BGG ) und wird der Beschwerdeführer für das bundesgerichtliche Verfahren entschädigt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