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1C_453/2008 vom 12. Februar 2009</w:t>
      </w:r>
    </w:p>
    <w:p>
      <w:r>
        <w:t>Bundesgericht, 2009-02-12, FR</w:t>
      </w:r>
    </w:p>
    <w:p>
      <w:r>
        <w:rPr>
          <w:b/>
        </w:rPr>
        <w:t xml:space="preserve">Quelle: </w:t>
      </w:r>
      <w:r>
        <w:t>https://mcp.opencaselaw.ch/entscheid/bger_1C_453_2008</w:t>
      </w:r>
    </w:p>
    <w:p>
      <w:r>
        <w:t>FR: TF 1C_453/2008 du 12 février 2009</w:t>
      </w:r>
    </w:p>
    <w:p>
      <w:r>
        <w:t>IT: TF 1C_453/2008 del 12 febbraio 2009</w:t>
      </w:r>
    </w:p>
    <w:p>
      <w:pPr>
        <w:pStyle w:val="Heading2"/>
      </w:pPr>
      <w:r>
        <w:t>Erwägungen</w:t>
      </w:r>
    </w:p>
    <w:p>
      <w:r>
        <w:rPr>
          <w:b/>
        </w:rPr>
        <w:t>E. 1</w:t>
      </w:r>
    </w:p>
    <w:p>
      <w:r>
        <w:t>Le Tribunal fédéral examine d'office et librement la recevabilité des recours qui lui sont soumis ( ATF 134 II 272 consid. 1.1 p. 275 et les arrêts cités).</w:t>
      </w:r>
    </w:p>
    <w:p>
      <w:r>
        <w:rPr>
          <w:b/>
        </w:rPr>
        <w:t>E. 1.1</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Cette disposition reprend les exigences qui prévalaient sous l'empire de la loi fédérale d'organisation judiciaire pour le recours de droit administratif, de sorte que l'on peut se référer à la jurisprudence rendue sous l'empire de l' art. 103 let. a OJ ( ATF 133 II 353 consid. 3 p. 357).</w:t>
      </w:r>
    </w:p>
    <w:p>
      <w:r>
        <w:t>Constitue un intérêt digne de protection, au sens de ces dispositions, tout intérêt pratique ou juridique à demander la modification ou l'annulation de la décision attaquée. L'intérêt digne de protection consiste ainsi en l'utilité pratique que l'admission du recours apporterait au recourant en lui évitant de subir un préjudice de nature économique, idéale, matérielle ou autre que la décision attaquée lui occasionnerait ( ATF 133 II 400 consid. 2.2 p. 404, 409 consid. 1.3 p. 413; 131 II 361 consid. 1.2 p. 365; 131 V 298 consid. 3 s. p. 300). Le recours d'un particulier formé dans l'intérêt général ou dans l'intérêt d'un tiers est exclu ( ATF 133 II 468 consid. 1 p. 469 s., 249 consid. 1.3.2 p. 253; 131 II 649 consid. 3.1 p. 651). Si la qualité pour agir n'apparaît pas évidente, il n'appartient pas au Tribunal fédéral de rechercher les éléments qui pourraient la fonder et c'est au recourant qu'il incombe de l'établir, conformément aux exigences de motivation de l' art. 42 al. 1 et 2 LTF ( ATF 133 II 249 consid. 1.1 p. 251).</w:t>
      </w:r>
    </w:p>
    <w:p>
      <w:r>
        <w:rPr>
          <w:b/>
        </w:rPr>
        <w:t>E. 1.2</w:t>
      </w:r>
    </w:p>
    <w:p>
      <w:r>
        <w:t>En principe, lorsque le litige porte sur la qualité pour agir du recourant, celui-ci peut se prévaloir d'un intérêt digne de protection à faire constater que sa légitimation active lui a été déniée en violation de ses droits de partie ( ATF 129 II 297 consid. 2.3 p. 301; 124 II 124 consid. 1b p. 126; 104 Ib 307 consid. 3a p. 317; cf. arrêt 2C_376/2008 du 2 décembre 2008, consid. 1.2 destiné à la publication). Il n'en demeure pas moins que l'intérêt digne de protection doit être actuel ( ATF 128 II 34 consid. 1b p. 36 et les références). Cet intérêt actuel est déterminé en fonction du but poursuivi par le recours et des conséquences et de la portée d'une éventuelle admission de celui-ci ( ATF 118 Ia 488 consid. 2a p. 492). L'intérêt actuel fait défaut en particulier lorsque la décision attaquée a été exécutée ou est devenue sans objet (ATF 125 II précité; 120 Ia 165 consid. 1a p. 166; 109 Ia 169 consid. 3b p. 170 et la jurisprudence citée).</w:t>
      </w:r>
    </w:p>
    <w:p>
      <w:r>
        <w:t>Le Tribunal fédéral peut toutefois renoncer à l'exigence d'un intérêt actuel lorsque le recours porte sur un acte qui pourrait se reproduire en tout temps dans des circonstances semblables et qui, en raison de sa brève durée ou de ses effets limités dans le temps, ne pourrait vraisemblablement jamais être soumis au contrôle judiciaire de la Cour suprême ( ATF 131 II 670 consid. 1.2 p. 674; 128 II 34 consid. 1b p. 36; 126 I 250 consid. 1b p. 252). Il peut également être renoncé à l'exigence d'un intérêt actuel lorsqu'il existe un intérêt public important à résoudre la question de principe soulevée ( ATF 127 I 164 consid. 1a p. 166; 125 I 394 consid. 4b p. 397; cf. ATF 131 II 361 consid. 1.2 p. 365 s.; 128 II 156 consid. 1c p. 159).</w:t>
      </w:r>
    </w:p>
    <w:p>
      <w:r>
        <w:rPr>
          <w:b/>
        </w:rPr>
        <w:t>E. 1.3</w:t>
      </w:r>
    </w:p>
    <w:p>
      <w:r>
        <w:t>En l'espèce, les recourants demandent au Tribunal fédéral de dire que leur recours contre la décision du département du 24 mai 2007 est recevable et de renvoyer la cause à la commission de recours. Ils ne s'en prennent pas au fait que le Tribunal administratif a considéré que la lettre du 11 juillet 2007 et l'évacuation elle-même n'étaient pas des décisions sujettes à recours. Ainsi, seule l'irrecevabilité du recours formé contre la décision du département du 24 mai 2007 est contestée dans le cadre du présent recours.</w:t>
      </w:r>
    </w:p>
    <w:p>
      <w:r>
        <w:t>La décision litigieuse du 24 mai 2007 est un ordre donné par le département aux propriétaires des immeubles occupés de procéder aux travaux nécessaires pour remédier à l'état de dégradation de ces bâtiments. Cette décision crée des obligations uniquement pour les propriétaires des immeubles et il n'apparaît pas évident que les recourants aient un intérêt à obtenir son annulation. Quoi qu'il en soit, dès lors que les recourants ont été évacués, on ne voit pas quel bénéfice concret ils retireraient d'une éventuelle admission de leur recours. En effet, même s'il était donné droit à leurs conclusions et que la décision du 24 mai 2007 était finalement annulée, cela ne les autoriserait pas pour autant à retourner s'installer dans les immeubles précédemment occupés. De plus, la décision litigieuse n'est pas un acte susceptible de se reproduire en tout temps et que les recourants ne pourraient jamais faire contrôler en raison de sa brève durée et de ses effets limités dans le temps. Par conséquent, on ne discerne pas quel pourrait encore être l'intérêt pratique à l'annulation de la décision contestée et les recourants ne parviennent pas à établir leur intérêt actuel à recourir.</w:t>
      </w:r>
    </w:p>
    <w:p>
      <w:r>
        <w:rPr>
          <w:b/>
        </w:rPr>
        <w:t>E. 1.4</w:t>
      </w:r>
    </w:p>
    <w:p>
      <w:r>
        <w:t>A l'appui de leur écriture, ceux-ci semblent se prévaloir d'un certain intérêt public à voir trancher une question de principe liée à la qualité pour agir des "occupants sans titre qui entendent s'opposer à leur expulsion". Ils fondent leur grief sur l' art. 11 Pacte ONU I , sans toutefois présenter à cet égard une véritable motivation conforme aux exigences de l' art. 42 al. 2 LTF . Ils renvoient sur ce point à un mémoire annexe, rédigé par une organisation non gouvernementale. Il n'est pas nécessaire de discuter la recevabilité de cette écriture, dès lors que le recours demeurerait irrecevable même si elle était prise en considération.</w:t>
      </w:r>
    </w:p>
    <w:p>
      <w:r>
        <w:t>En effet, à propos de l' art. 11 Pacte ONU I , l'écriture à laquelle se réfèrent les recourants traite principalement de l'obligation des Etats parties d'assurer la réalisation du droit à un logement suffisant, à savoir un lieu sûr et salubre dans lequel toute personne devrait pouvoir vivre dans la paix et la dignité. On ne voit pas d'emblée en quoi les garanties déduites de cette disposition s'appliqueraient à des squatters tels que les recourants, qui n'établissent aucunement qu'ils n'ont pas la possibilité d'obtenir un logement suffisant au sens de celle-ci. Au surplus, il n'est pas démontré - conformément aux exigences de motivation déduites de l' art. 42 LTF (cf. supra consid. 1.1 in fine) - que l' art. 11 Pacte ONU I permette aux occupants illicites de contester une décision ordonnant aux propriétaires des immeubles occupés de procéder aux travaux nécessaires pour remédier à l'état de dégradation de ceux-ci. Dans ces conditions, il y a lieu de constater que les recourants n'établissent pas l'existence d'un véritable intérêt public important à trancher une question de principe qu'ils auraient soulevée. Il ne se justifie donc pas de renoncer à l'exigence d'un intérêt actuel.</w:t>
      </w:r>
    </w:p>
    <w:p>
      <w:r>
        <w:rPr>
          <w:b/>
        </w:rPr>
        <w:t>E. 2</w:t>
      </w:r>
    </w:p>
    <w:p>
      <w:r>
        <w:t>Il s'ensuit que le recours doit être déclaré irrecevable. Les recourants, qui succombent, doivent supporter les frais de la présente procédure ( art. 66 al. 1 LTF ). Ils verseront en outre une indemnité à titre de dépens aux intimées, qui obtiennent gain de cause avec l'assistance d'un avocat ( art. 68 al. 1 et 2 LTF ). Cette indemnité sera prélevée sur les sûretés déposées en garantie des dépens en application de l' art. 62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