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1C_452/2024 vom 16. Januar 2025</w:t>
      </w:r>
    </w:p>
    <w:p>
      <w:r>
        <w:t>Bundesgericht, 2025-01-16, FR</w:t>
      </w:r>
    </w:p>
    <w:p>
      <w:r>
        <w:rPr>
          <w:b/>
        </w:rPr>
        <w:t xml:space="preserve">Quelle: </w:t>
      </w:r>
      <w:r>
        <w:t>https://mcp.opencaselaw.ch/entscheid/bger_1C_452_2024</w:t>
      </w:r>
    </w:p>
    <w:p>
      <w:r>
        <w:t>FR: TF 1C_452/2024 du 16 janvier 2025</w:t>
      </w:r>
    </w:p>
    <w:p>
      <w:r>
        <w:t>IT: TF 1C_452/2024 del 16 gennaio 2025</w:t>
      </w:r>
    </w:p>
    <w:p>
      <w:pPr>
        <w:pStyle w:val="Heading2"/>
      </w:pPr>
      <w:r>
        <w:t>Erwägungen</w:t>
      </w:r>
    </w:p>
    <w:p>
      <w:r>
        <w:rPr>
          <w:b/>
        </w:rPr>
        <w:t>E. 1</w:t>
      </w:r>
    </w:p>
    <w:p>
      <w:r>
        <w:t>La présente cause est une contestation de nature pécuniaire en matière de rapports de travail de droit public, de sorte que le motif d'exclusion de l' art. 83 let . g LTF n'entre pas en considération. La valeur litigieuse dépasse largement le seuil de 15'000 fr. ouvrant la voie du recours en matière de droit public en ce domaine (art. 51 al. 1 et 85 al. 1 let. b LTF). Par ailleurs, en tant que partie à la procédure cantonale, destinataire de la décision qui rejette ses prétentions, le recourant bénéficie indéniablement de la qualité pour recourir. Pour le surplus, interjeté en temps utile et dans les formes requises contre une décision finale prise par une autorité cantonale de dernière instance, le recours respecte les exigences des art. 86 al. 1 let . d, 90 et 100 al. 1 LTF. Le recours en matière de droit public est par conséquent recevable, sous réserve de sa motivation, comme il sera développé dans les considérants ci-après.</w:t>
      </w:r>
    </w:p>
    <w:p>
      <w:r>
        <w:rPr>
          <w:b/>
        </w:rPr>
        <w:t>E. 2</w:t>
      </w:r>
    </w:p>
    <w:p>
      <w:r>
        <w:t>Le recourant se plaint d'une violation du droit d'être entendu. Il reproche à la Cour cantonale de n'avoir pas entendu des témoins ni administré "divers documents".</w:t>
      </w:r>
    </w:p>
    <w:p>
      <w:r>
        <w:rPr>
          <w:b/>
        </w:rPr>
        <w:t>E. 2.1</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Le refus d'une mesure probatoire par appréciation anticipée des preuves ne peut être remis en cause devant le Tribunal fédéral qu'en invoquant l'arbitraire ( art. 9 Cst. ) de manière claire et détaillée (cf. art. 106 al. 2 LTF ; ATF 146 III 73 consid. 5.2.2 et 144 II 427 consid. 3.1.3).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w:t>
      </w:r>
    </w:p>
    <w:p>
      <w:r>
        <w:t>Compte tenu de l'exigence de motivation contenue à l' art. 42 al. 1 et 2 LTF , il appartient à la partie recourante de discuter au moins brièvement les considérants de la décision litigieuse et d'expliquer en quoi ceux-ci seraient contraires au droit ( ATF 142 I 99 consid. 1.7.1). Les griefs de violation des droits fondamentaux sont en outre soumis à des exigences de motivation accrues (cf. art. 106 al. 2 LTF ), la partie recourante devant alors citer les principes constitutionnels qui n'auraient pas été respectés et expliquer de manière claire et précise en quoi ces principes auraient été violés ( ATF 148 I 127 consid. 4.3). Les critiques de nature appellatoire sont irrecevables ( ATF 147 IV 73 consid. 4.1.2).</w:t>
      </w:r>
    </w:p>
    <w:p>
      <w:r>
        <w:rPr>
          <w:b/>
        </w:rPr>
        <w:t>E. 2.2</w:t>
      </w:r>
    </w:p>
    <w:p>
      <w:r>
        <w:t>Dans le cas d'espèce, la Cour cantonale a premièrement relevé que le litige portait uniquement sur la question des heures supplémentaires effectuées depuis 2021 avec majoration ainsi que sur la majoration des heures payées déjà réalisées en 2019 et 2020. En effet, le recourant n'avait requis le paiement des heures supplémentaires qu'après avoir pris conscience qu'il ne serait pas colloqué en classe 2 ou 1, à la suite de sa nomination en qualité de chef de service. Par conséquent, les premiers juges ont rejeté les requêtes d'auditions de nombreux témoins membres de l'administration communale neuchâteloise, au motif que ces moyens de preuve visaient à établir que le recourant avait été mal colloqué et ne concernaient dès lors pas la problématique des heures supplémentaires ni celle de leur majoration. Concernant le rapport qui avait été établi par une société chargée d'évaluer la fonction du recourant, il était également externe au litige.</w:t>
      </w:r>
    </w:p>
    <w:p>
      <w:r>
        <w:t>Cette appréciation n'est pas arbitraire. Le recourant ne démontre pas en quoi l'audition de ses anciens collègues pourrait avoir une influence sur la question de ses heures supplémentaires et de leur majoration. À le comprendre, cela serait susceptible d'établir qu'il percevait un salaire inférieur dans sa nouvelle fonction depuis sa collocation à la classe salariale 3. Cette question sort cependant de l'objet du litige, limité aux montants réclamés à titre de majoration des heures supplémentaires qu'il avait effectuées, tel que défini par ses conclusions prises dans le cadre de son action de droit administratif.</w:t>
      </w:r>
    </w:p>
    <w:p>
      <w:r>
        <w:t>Le recourant n'apporte du reste aucune indication quant aux personnes qui auraient dû être auditionnées, ni aux questions qui auraient dû leur être posées, de sorte qu'il est également impossible d'établir si ce moyen de preuve serait pertinent pour l'issue du litige. Le recourant se contente d'affirmer qu'il était nécessaire de déterminer si son salaire comprenait la rémunération des heures supplémentaires, sans expliquer clairement et de manière détaillée pour quelles raisons seule l'audition de ses anciens collègues aurait permis de répondre à cette interrogation et était ainsi indispensable. Sa motivation d'une prétendue violation du droit d'être entendu est dès lors insuffisante au regard des exigences de l' art. 106 al. 2 LTF . Les précisions apportées au stade de la réplique quant aux témoins, venant compléter son argumentation, sont par ailleurs irrecevables car tardives. Le droit de réplique n'a en effet pas vocation à permettre aux parties de présenter des arguments nouveaux ou des griefs qui auraient déjà pu figurer dans l'acte de recours. Le recourant ne saurait dès lors, par ce biais, remédier à une motivation initiale défaillante ou encore compléter les motifs de son recours (cf. art. 47 al. 1 LTF ; ATF 143 II 283 consid. 1.2.3 et 135 I 19 consid. 2.1; arrêt 1C_503/2019 du 7 avril 2021 consid. 1.3).</w:t>
      </w:r>
    </w:p>
    <w:p>
      <w:r>
        <w:t>Quant au refus des précédents juges de faire produire "divers documents", le recourant n'indique pas dans son recours au Tribunal fédéral de quelles pièces il s'agissait ni l'influence qu'elles pourraient exercer sur l'issue du litige. Son grief est à cet égard irrecevable. Il n'appartient en effet pas au Tribunal fédéral d'aller rechercher dans les écritures devant les instances précédentes. Il ne serait par ailleurs pas non plus suffisant que la partie recourante se contente de renvoyer à celles-ci (cf. ATF 145 V 141 consid. 5.1 et 144 V 173 consid. 3.2.2; arrêt 1C_265/2020 du 29 décembre 2020 consid. 1.3).</w:t>
      </w:r>
    </w:p>
    <w:p>
      <w:r>
        <w:rPr>
          <w:b/>
        </w:rPr>
        <w:t>E. 2.3</w:t>
      </w:r>
    </w:p>
    <w:p>
      <w:r>
        <w:t>Concernant les autres moyens de preuve proposés par le recourant pour établir la rémunération des heures supplémentaires, la Cour cantonale a estimé qu'ils n'étaient pas susceptibles de modifier son opinion et les a donc également rejetés par appréciation anticipée.</w:t>
      </w:r>
    </w:p>
    <w:p>
      <w:r>
        <w:t>Ce faisant, les juges précédents n'ont pas versé dans l'arbitraire en considérant que le dossier comprenait suffisamment d'éléments pour trancher la cause et en retenant que seule la supérieure hiérarchique du recourant aurait été en mesure de légitimer la nécessité d'effectuer des heures supplémentaires, ce qui ne pouvait pas être soutenu en l'espèce dès lors que son avis reflétait celui de la ville intimée. Le recourant n'émet aucune critique contre ce raisonnement et se contente d'affirmer péremptoirement que l'audition de sa supérieure et de ses collègues (sans prendre la peine de les nommer) permettrait d'établir les horaires effectués. En indiquant ensuite de manière répétée qu'il existerait une "problématique" en raison des nombreuses heures supplémentaires effectuées en 2019 et 2020, le recourant oppose simplement sa propre version des faits sans démontrer que l'appréciation de la Cour cantonale, selon laquelle le paiement était intervenu pour solde de tout compte, serait insoutenable. De telles critiques purement appellatoires sont insuffisantes (cf. art. 106 al. 2 LTF ) et doivent être écartées.</w:t>
      </w:r>
    </w:p>
    <w:p>
      <w:r>
        <w:rPr>
          <w:b/>
        </w:rPr>
        <w:t>E. 3</w:t>
      </w:r>
    </w:p>
    <w:p>
      <w:r>
        <w:t>Dans un second grief, intitulé "violation du droit cantonal/communal", le recourant reproche à la Cour cantonale de n'avoir pas retenu que les directives communales étaient confuses et lacunaires et qu'il ne bénéficiait,</w:t>
      </w:r>
    </w:p>
    <w:p>
      <w:r>
        <w:t>in fine , d'aucune compensation pour les heures supplémentaires réalisées. Le recourant se plaint également d'une constatation arbitraire des faits et d'une violation de l'art. 14 de la loi neuchâteloise sur la procédure et la juridiction administrative (LPJA; RS/NE 152.130), qui consacre la maxime d'office en matière d'administration des preuves.</w:t>
      </w:r>
    </w:p>
    <w:p>
      <w:r>
        <w:rPr>
          <w:b/>
        </w:rPr>
        <w:t>E. 3.1</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w:t>
      </w:r>
    </w:p>
    <w:p>
      <w:r>
        <w:rPr>
          <w:b/>
        </w:rPr>
        <w:t>E. 3.2</w:t>
      </w:r>
    </w:p>
    <w:p>
      <w:r>
        <w:t>La juridiction précédente a exposé, au considérant 3 de son arrêt, les directives sur le personnel qui se sont appliquées successivement jusqu'au 31 décembre 2020 (statut du personnel communal du 7 décembre 1987), puis dès le 1er janvier 2021 (statut du personnel communal du 21 décembre 2020, en vigueur depuis le 1er janvier 2021, et statut du personnel communal du 25 octobre 2021, en vigueur depuis le 1er janvier 2022). Ces différentes directives communales comprenaient chacune des règles similaires quant aux heures supplémentaires et leur compensation.</w:t>
      </w:r>
    </w:p>
    <w:p>
      <w:r>
        <w:t>À propos des heures accomplies en 2019 et 2020 (soit avant le changement de fonction du recourant), se fondant sur l'art. 51 du statut du personnel communal de 1987 (concrétisé par un règlement d'application du 3 mai 1989), la Cour cantonale a relevé que les conditions permettant de retenir des heures supplémentaires n'étaient pas réalisées et a ainsi rejeté le droit à une majoration de 25% (consid. 4 de l'arrêt attaqué). Depuis la nomination du recourant en qualité de chef de service, l'autorité précédente a considéré qu'il était un cadre de catégorie 2 (selon les art. 47 et 50 du règlement d'application du statut du personnel communal du 14 avril 2021, arrêté le 4 octobre 2021) et qu'il ne pouvait par conséquent pas non plus prétendre à la rémunération des heures supplémentaires réalisées (cf. art. 64 al. 3 du statut du personnel de 2020 et art. 65 al. 3 du statut du personnel 2021). En outre, ces heures ne pouvaient de toute manière pas être qualifiées d'heures supplémentaires, dès lors qu'elles n'avaient pas été accomplies sur ordre du supérieur ni entre 19h30 et 6h (consid. 5 de l'arrêt attaqué).</w:t>
      </w:r>
    </w:p>
    <w:p>
      <w:r>
        <w:rPr>
          <w:b/>
        </w:rPr>
        <w:t>E. 3.3</w:t>
      </w:r>
    </w:p>
    <w:p>
      <w:r>
        <w:t>Le recourant ne parvient pas à démontrer que l'interprétation faite par la Cour cantonale des directives sur le personnel serait arbitraire. Il ne remet pas en cause l'appréciation de l'autorité précédente quant aux heures effectuées en 2019 et 2020, de sorte qu'il n'y a pas lieu d'y revenir. Depuis son changement de fonction en janvier 2021, on ne discerne ensuite pas quelles contradictions manifestes il aimerait mettre en avant. Il ne conteste en effet pas qu'il était un cadre de la catégorie 2 et que ses heures supplémentaires n'étaient par conséquent pas rémunérées. Il se prévaut en revanche du fait qu'aucune compensation pour les cadres n'aurait été définie dans une directive et y voit dès lors une lacune du droit communal. La Cour cantonale a reconnu que cette question n'avait effectivement pas été concrétisée dans une directive. Néanmoins, elle a relevé que le statut du recourant ne lui permettait de toute manière pas d'effectuer des heures supplémentaires et que, même si cela était le cas, les heures accomplies depuis 2021 ne pouvaient pas être qualifiées comme telles. Face à ce raisonnement, le recourant se contente d'invoquer une lacune du droit communal, sans parvenir à démontrer que le résultat auquel est arrivée la Cour cantonale serait arbitraire. Or, dans la mesure où son statut ne lui permettait pas de prétendre à une compensation des heures supplémentaires, le fait qu'une telle compensation ne soit pas définie dans une directive n'est pas relevant en l'espèce. Le recourant renvoie au surplus aux développements contenus dans son action du 21 août 2023 sans les reprendre expressément dans son recours, ce qui ne répond pas aux exigences de motivation de l' art. 106 al. 2 LTF ( ATF 143 IV 122 consid. 3.3; 141 V 416 consid. 4; 138 IV 47 consid. 2.8.1).</w:t>
      </w:r>
    </w:p>
    <w:p>
      <w:r>
        <w:t>Dans ces conditions, le grief relatif au droit communal est insuffisant pour remettre en cause l'appréciation de la cour cantonale et doit dès lors être rejeté, pour autant qu'il soit recevable.</w:t>
      </w:r>
    </w:p>
    <w:p>
      <w:r>
        <w:rPr>
          <w:b/>
        </w:rPr>
        <w:t>E. 3.4</w:t>
      </w:r>
    </w:p>
    <w:p>
      <w:r>
        <w:t>Le recourant prétend encore que l'autorité précédente aurait fait preuve d'arbitraire en refusant d'instruire les moyens de preuve proposés et en n'établissant pas les faits d'office conformément à l'art. 14 LPJA.</w:t>
      </w:r>
    </w:p>
    <w:p>
      <w:r>
        <w:t>Il ne sera pas revenu sur la critique d'une prétendue violation du droit d'être entendu en lien avec l'appréciation anticipée des moyens de preuve qui fait l'objet du considérant 2 ci-dessus. Quant au grief relatif à la constatation des faits, le recourant soutient qu'il était prouvé et admis que des heures avaient été effectuées et payées par la ville intimée pour les années 2019 et 2020. Ce faisant, il fait totalement abstraction du raisonnement de la Cour de justice, selon lequel le paiement de ces heures était intervenu pour solde de tout compte, au vu de sa nouvelle rémunération découlant de sa collocation en classe 3. Cette appréciation n'apparaît pas insoutenable et le recourant ne la critique aucunement. Contrairement à ce qu'il prétend, le fait que ces heures avaient été payées ne démontre pas pour autant qu'elles avaient été accomplies sur ordre de sa supérieure hiérarchique ou qu'elles étaient formellement justifiées en plus de l'horaire réglementaire de son service. Le décompte d'heures auquel il fait référence (titre 11) n'est du reste pas pertinent. Non seulement ce document a été établi par l'intéressé lui-même (ce qui relativise sa force probante), mais il ne prouve également pas qu'il s'agirait d'heures supplémentaires et non d'heures variables non sujettes à majoration. Dans ces conditions, ce grief, pour autant qu'il soit recevable, doit également être rejeté.</w:t>
      </w:r>
    </w:p>
    <w:p>
      <w:r>
        <w:rPr>
          <w:b/>
        </w:rPr>
        <w:t>E. 4</w:t>
      </w:r>
    </w:p>
    <w:p>
      <w:r>
        <w:t>Il s'ensuit que le recours en matière de droit public est rejeté, dans la mesure de sa recevabilité. Le recourant, qui succombe,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