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452/2014 vom 25. September 2014</w:t>
      </w:r>
    </w:p>
    <w:p>
      <w:r>
        <w:t>Bundesgericht, 2014-09-25, DE</w:t>
      </w:r>
    </w:p>
    <w:p>
      <w:r>
        <w:rPr>
          <w:b/>
        </w:rPr>
        <w:t xml:space="preserve">Quelle: </w:t>
      </w:r>
      <w:r>
        <w:t>https://mcp.opencaselaw.ch/entscheid/bger_1C_452_2014</w:t>
      </w:r>
    </w:p>
    <w:p>
      <w:r>
        <w:t>FR: TF 1C 452/2014 du 25 septembre 2014</w:t>
      </w:r>
    </w:p>
    <w:p>
      <w:r>
        <w:t>IT: TF 1C 452/2014 del 25 settembre 2014</w:t>
      </w:r>
    </w:p>
    <w:p>
      <w:pPr>
        <w:pStyle w:val="Heading2"/>
      </w:pPr>
      <w:r>
        <w:t>Regeste</w:t>
      </w:r>
    </w:p>
    <w:p>
      <w:r>
        <w:t>Internationale Rechtshilfe in Strafsachen an Deutschland | Rechtshilfe und Auslieferung</w:t>
      </w:r>
    </w:p>
    <w:p>
      <w:pPr>
        <w:pStyle w:val="Heading2"/>
      </w:pPr>
      <w:r>
        <w:t>Erwägungen</w:t>
      </w:r>
    </w:p>
    <w:p>
      <w:r>
        <w:rPr>
          <w:b/>
        </w:rPr>
        <w:t>E. 1</w:t>
      </w:r>
    </w:p>
    <w:p>
      <w:r>
        <w:t>Der vorinstanzliche Entscheid schliesst das Rechtshilfeverfahren nicht ab. Es handelt sich um einen Zwischenentscheid. Dieser betrifft weder die Zuständigkeit noch den Ausstand. Er stellt somit einen "anderen Zwischenentscheid" gemäss Art. 93 BGG dar. Dagegen ist die Beschwerde nach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 (Abs. 1). Auf dem Gebiet der internationalen Rechtshilfe in Strafsachen sind Zwischenentscheide nicht anfechtbar. Vorbehalten bleiben Beschwerden gegen Entscheide über die Auslieferungshaft sowie über die Beschlagnahme von Vermögenswerten und Wertgegenständen, sofern die Voraussetzungen von Absatz 1 erfüllt sind (Abs. 2). Der Beschwerdeführer muss - wenn das nicht offensichtlich ist - im Einzelnen darlegen, inwiefern ein anfechtbarer Zwischenentscheid nach Art. 93 BGG gegeben sein soll. Andernfalls genügt er seiner Begründungspflicht ( Art. 42 Abs. 2 BGG ) nicht und kann auf die Beschwerde nicht eingetreten werden ( BGE 137 III 324 E. 1.1 S. 328 f. mit Hinweisen). Die Beschwerdeführer äussern sich nicht dazu, weshalb hier ein anfechtbarer Zwischenentscheid vorliegen soll. Das ist auch nicht offensichtlich. Im Gegenteil ist davon auszugehen, dass der vorinstanzliche Entscheid gemäss Art. 93 Abs. 2 BGG schon deshalb nicht anfechtbar ist, weil es weder um Auslieferungshaft noch die Beschlagnahme von Vermögenswerten und Wertgegenständen geht. Die Beschwerde genügt damit den Begründungsanforderungen nicht, weshalb darauf nicht eingetreten werden kann. Da dies offensichtlich ist, ist gemäss Art. 108 BGG der Einzelrichter zum Entscheid befugt (Abs. 1 lit. b).</w:t>
      </w:r>
    </w:p>
    <w:p>
      <w:r>
        <w:rPr>
          <w:b/>
        </w:rPr>
        <w:t>E. 2</w:t>
      </w:r>
    </w:p>
    <w:p>
      <w:r>
        <w:t>Bei diesem Ausgang des Verfahrens tragen die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