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1C_44/2014 vom 31. Januar 2014</w:t>
      </w:r>
    </w:p>
    <w:p>
      <w:r>
        <w:t>Bundesgericht, 2014-01-31, FR</w:t>
      </w:r>
    </w:p>
    <w:p>
      <w:r>
        <w:rPr>
          <w:b/>
        </w:rPr>
        <w:t xml:space="preserve">Quelle: </w:t>
      </w:r>
      <w:r>
        <w:t>https://mcp.opencaselaw.ch/entscheid/bger_1C_44_2014</w:t>
      </w:r>
    </w:p>
    <w:p>
      <w:r>
        <w:t>FR: TF 1C_44/2014 du 31 janvier 2014</w:t>
      </w:r>
    </w:p>
    <w:p>
      <w:r>
        <w:t>IT: TF 1C_44/2014 del 31 gennaio 2014</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(documents relatifs à trois comptes déterminés), le cas ne revêt en soi aucune importance particulière.</w:t>
      </w:r>
    </w:p>
    <w:p>
      <w:r>
        <w:rPr>
          <w:b/>
        </w:rPr>
        <w:t>E. 1.3</w:t>
      </w:r>
    </w:p>
    <w:p>
      <w:r>
        <w:t>Les recourants tentent en vain de démontrer le contraire. Ils estiment qu'aucune autorité judiciaire américaine n'aurait formellement requis l'entraide judiciaire comme l'exige l' art. 28 al. 1 et 2 TEJUS . En l'état du dossier, rien ne permettrait de démontrer qu'une autorité autre que gouvernementale désirerait obtenir des renseignements au sujet des recourants. L'autorité requérante ne pourrait être mise au bénéfice de la bonne foi.</w:t>
      </w:r>
    </w:p>
    <w:p>
      <w:r>
        <w:rPr>
          <w:b/>
        </w:rPr>
        <w:t>E. 1.4</w:t>
      </w:r>
    </w:p>
    <w:p>
      <w:r>
        <w:t>A teneur de l' art. 1 al. 1 let. a TEJUS , l'entraide est accordée pour les enquêtes ou les procédures judiciaires relatives à une infraction dont la répression est de la compétence de l'Etat requérant. La notion de procédure judiciaire doit être interprétée largement ( ATF 115 Ib 186 consid. 3 p. 191); elle peut s'étendre à la phase judiciaire ou préliminaire de la procédure; il suffit que l'ouverture d'une action pénale apparaisse vraisemblable, ce qui est notamment le cas des autorités d'enquête telle que la Securities and Exchange Commission (SEC; ATF 120 Ib 251 ).</w:t>
      </w:r>
    </w:p>
    <w:p>
      <w:r>
        <w:rPr>
          <w:b/>
        </w:rPr>
        <w:t>E. 1.5</w:t>
      </w:r>
    </w:p>
    <w:p>
      <w:r>
        <w:t>En l'occurrence, le DJ a fait savoir que l'autorité de poursuite a besoin des documents requis. Elle précise qu'un juge de la US District Court Eastern District of Virginia a rendu, le 11 janvier 2013, une "ordonnance restrictive" portant sur le blocage des avoirs des recourants en vue de leur confiscation. Cette ordonnance n'est certes pas accessible, mais la demande allègue de manière suffisante, en en faisant état, qu'une autorité judiciaire est actuellement en charge d'une procédure concernant les comptes bancaires visés. Dès lors, s'il n'existe pas au dossier de requête d'entraide formelle de la part de cette autorité, la vraisemblance de l'ouverture d'une action pénale est manifestement suffisante. Il n'y a donc pas lieu de douter que l'office central de l'Etat requérant a bien présenté la demande d'entraide judiciaire pour le compte d'une autorité judiciaire, au sens de l' art. 28 al. 2 TEJUS . La présente espèce ne soulève dès lors aucune question de principe.</w:t>
      </w:r>
    </w:p>
    <w:p>
      <w:r>
        <w:rPr>
          <w:b/>
        </w:rPr>
        <w:t>E. 1.6</w:t>
      </w:r>
    </w:p>
    <w:p>
      <w:r>
        <w:t>Sur le vu de ce qui précède,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2</w:t>
      </w:r>
    </w:p>
    <w:p>
      <w:r>
        <w:t>Le recours est par conséquent d'emblée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