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1C_448/2019 vom 2. Oktober 2019</w:t>
      </w:r>
    </w:p>
    <w:p>
      <w:r>
        <w:t>Bundesgericht, 2019-10-02, DE</w:t>
      </w:r>
    </w:p>
    <w:p>
      <w:r>
        <w:rPr>
          <w:b/>
        </w:rPr>
        <w:t xml:space="preserve">Quelle: </w:t>
      </w:r>
      <w:r>
        <w:t>https://mcp.opencaselaw.ch/entscheid/bger_1C_448_2019</w:t>
      </w:r>
    </w:p>
    <w:p>
      <w:r>
        <w:t>FR: TF 1C_448/2019 du 2 octobre 2019</w:t>
      </w:r>
    </w:p>
    <w:p>
      <w:r>
        <w:t>IT: TF 1C_448/2019 del 2 ottobre 2019</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macht geltend, es stelle sich die Frage nach der Anwendbarkeit des völkerrechtlichen Vertrauensprinzips gegenüber Staaten, welche die Auslieferung zur Vollstreckung eines Strafurteils verlangten, das vor der Ratifikation der EMRK und zudem zu einem Zeitpunkt gefällt wurde, als der ersuchende Staat noch nicht existierte. Auch kritisiert er, dass das Bundesstrafgericht keine mündliche Verhandlung durchgeführt und die Strafverfahrensakten nicht beigezogen hat.</w:t>
      </w:r>
    </w:p>
    <w:p>
      <w:r>
        <w:t>Bijeljina liegt auf dem Gebiet des heutigen Staats Bosnien und Herzegowina, weshalb die Verurteilungen durch die dortigen Gerichte als im Hoheitsgebiet des ersuchenden Staats erfolgt gelten können (Art. 2 Abs. 1 des Europäischen Auslieferungsübereinkommens vom 13. Dezember 1957 [SR 0.353.1]). Ob eine Verurteilung auf einem fairen Verfahren beruht, kann zudem unabhängig davon geprüft werden, ob im betreffenden Staat im relevanten Zeitraum die EMRK bzw. der UNO-Pakt II (SR 0.103.2) galten. Das Bundesstrafgericht hat sich denn auch mit der Rüge des Beschwerdeführers, er sei nicht in einem den Anforderungen von Art. 6 EMRK genügenden Verfahren verurteilt worden, eingehend auseinandergesetzt. Die betreffenden Erwägungen überzeugen und es kann darauf verwiesen werden. Die Kritik des Beschwerdeführers ist dagegen äusserst pauschal und genügt den gesetzlichen Begründungsanforderungen nicht ( Art. 42 Abs. 2 BGG ). Weiter ist nicht nachvollziehbar, weshalb es im vorinstanzlichen Verfahren einer mündlichen Verhandlung bedurft hätte und eine schriftliche Schilderung der angeblichen Verfahrensmängel nicht möglich war. Schliesslich legt der Beschwerdeführer auch nicht dar, was er mit den Strafakten konkret hätte aufzeigen wollen.</w:t>
      </w:r>
    </w:p>
    <w:p>
      <w:r>
        <w:t>Für das Bundesgericht besteht aus diesen Gründen kein Anlass, die Sache an die Hand zu nehmen.</w:t>
      </w:r>
    </w:p>
    <w:p>
      <w:r>
        <w:rPr>
          <w:b/>
        </w:rPr>
        <w:t>E. 2</w:t>
      </w:r>
    </w:p>
    <w:p>
      <w:r>
        <w:t>Auf die Beschwerde ist nicht einzutreten. Damit wird das Gesuch um aufschiebende Wirkung gegenstandslos. Der Beschwerde kommt im vorliegenden Fall ohnehin schon von Gesetzes wegen aufschiebende Wirkung zu ( Art. 103 Abs. 2 lit. c BGG ).</w:t>
      </w:r>
    </w:p>
    <w:p>
      <w:r>
        <w:t>Das Gesuch des Beschwerdeführers um unentgeltliche Rechtspflege ist wegen Aussichtslosigkeit abzuweisen ( Art. 64 Abs. 1 BGG ). Angesichts der angespannten finanziellen Verhältnisse des Beschwerdeführers sind indessen lediglich reduzierte Gerichtskosten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