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447/2012 vom 5. August 2013</w:t>
      </w:r>
    </w:p>
    <w:p>
      <w:r>
        <w:t>Bundesgericht, 2013-08-05, FR</w:t>
      </w:r>
    </w:p>
    <w:p>
      <w:r>
        <w:rPr>
          <w:b/>
        </w:rPr>
        <w:t xml:space="preserve">Quelle: </w:t>
      </w:r>
      <w:r>
        <w:t>https://mcp.opencaselaw.ch/entscheid/bger_1C_447_2012</w:t>
      </w:r>
    </w:p>
    <w:p>
      <w:r>
        <w:t>FR: TF 1C 447/2012 du 5 août 2013</w:t>
      </w:r>
    </w:p>
    <w:p>
      <w:r>
        <w:t>IT: TF 1C 447/2012 del 5 agosto 2013</w:t>
      </w:r>
    </w:p>
    <w:p>
      <w:pPr>
        <w:pStyle w:val="Heading2"/>
      </w:pPr>
      <w:r>
        <w:t>Regeste</w:t>
      </w:r>
    </w:p>
    <w:p>
      <w:r>
        <w:t>plan d'affectation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Selon l' art. 89 al. 2 let . c LTF, les communes ont qualité pour recourir en invoquant la violation de garanties qui leur sont reconnues par les Constitutions cantonale ou fédérale. Le Conseil communal, qui invoque l'autonomie dont il bénéficie en matière d'aménagement du territoire, a ainsi qualité pour agir. La question de savoir s'il est réellement autonome dans ces domaines relève du fond ( ATF 135 I 43 consid. 1.2 p. 45; 129 I 313 consid. 4.2 p. 319 et les références).</w:t>
      </w:r>
    </w:p>
    <w:p>
      <w:r>
        <w:rPr>
          <w:b/>
        </w:rPr>
        <w:t>E. 2</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135 I 43 consid. 1.2 p. 45; 133 I 128 consid. 3.1 p. 131; 129 I 410 consid. 2.1 p. 413; 129 I 313 consid. 5.2 p. 320 et les arrêts cités).</w:t>
      </w:r>
    </w:p>
    <w:p>
      <w:r>
        <w:rPr>
          <w:b/>
        </w:rPr>
        <w:t>E. 2.1</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363 consid. 3b p. 367; 108 Ia 74 consid. 2b p. 76 s.; arrêt 1P.167/2003 consid. 3 publié in RDAF 2004 p. 114). Cela ressort en particulier de l'art. 2 al. 1 de la loi vaudoise du 4 décembre 1985 sur l'aménagement du territoire et les constructions (LATC; RS/VD 700.11), selon lequel l'Etat laisse aux communes la liberté d'appréciation nécessaire à l'accomplissement de leurs tâches. Le droit cantonal se borne ainsi à poser quelques règles sur l'esthétique, la solidité et la salubrité des constructions, sur la suppression des barrières architecturales et l'utilisation rationnelle de l'énergie (art. 86 à 102 LATC). En revanche, il ne contient aucune disposition sur la densité des constructions, en particulier sur le coefficient d'utilisation du sol, la hauteur et le nombre de niveaux admissibles. Ces domaines ressortissent au seul droit communal (arrêt 1P.167/2003 du 3 juillet 2003), de même que les dispositions sur l'esthétique des constructions, dont les communes doivent assortir leurs règlements afin d'éviter l'enlaidissement des localités et de leurs abords (art. 86 al. 3 LATC).</w:t>
      </w:r>
    </w:p>
    <w:p>
      <w:r>
        <w:rPr>
          <w:b/>
        </w:rPr>
        <w:t>E. 2.2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w:t>
      </w:r>
    </w:p>
    <w:p>
      <w:r>
        <w:t>L'arrêt attaqué annule le PPA "Château de l'Aile - Jardin du Rivage" au motif qu'il ne contiendrait pas les prescriptions nécessaires à l'intégration du nouveau bâtiment du Rivage dans le périmètre sensible où il prendrait place. En effet, comme il n'était fait mention ni de la forme de la toiture, ni de la hauteur à la corniche de la construction future, le PPA litigieux et son règlement permettraient l'édification d'un bâtiment dont le toit plat culminerait à 18 m de hauteur, ce qui constituerait un contraste écrasant par rapport à la Salle del Castillo. Le recourant estime qu'en invalidant le plan d'affectation "Château de l'Aile - Jardin du Rivage" pour les motifs précités, le Tribunal cantonal a méconnu le rôle du PPA tel que défini par les art. 44 ss LATC. Le PPA litigieux constituait un cadre légal et réglementaire offrant une protection suffisante et adéquate sans qu'il y ait lieu d'envisager des dispositions de technique architecturale plus précises, le règlement communal des constructions reprenant la clause d'esthétique de l'art. 86 LATC. Ce faisant, le recourant reproche au Tribunal cantonal d'avoir substitué sa propre appréciation à celle de la municipalité et d'avoir ainsi violé son autonomie communale.</w:t>
      </w:r>
    </w:p>
    <w:p>
      <w:r>
        <w:rPr>
          <w:b/>
        </w:rPr>
        <w:t>E. 3.1</w:t>
      </w:r>
    </w:p>
    <w:p>
      <w:r>
        <w:t>Selon la jurisprudence, le libre examen dont doit disposer l'autorité de recours cantonale, en vertu de l'art. 33 al. 3 let. b de la loi fédérale sur l'aménagement du territoire (LAT; RS 700), ne se réduit pas à un contrôle de la constatation des faits et de l'application du droit; il comporte aussi un contrôle de l'opportunité. L'autorité doit vérifier que la planification contestée devant elle est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1C_82/2008 du 28 mai 2008, consid. 6.1 non publié in ATF 134 II 117 ; ATF 127 II 238 consid. 3b/aa p. 242).</w:t>
      </w:r>
    </w:p>
    <w:p>
      <w:r>
        <w:rPr>
          <w:b/>
        </w:rPr>
        <w:t>E. 3.2</w:t>
      </w:r>
    </w:p>
    <w:p>
      <w:r>
        <w:t>En l'espèce, le PPA litigieux contient les prescriptions relatives à la volumétrie ainsi qu'à l'aire d'implantation de la construction future. L'art. 10 du règlement du PPA (RPPA), intitulé "aire d'implantation de la construction future", fixe en effet la surface maximale au sol ainsi que la surface brute de plancher maximale; les hauteurs et altitudes maximales figurent sur les coupes du plan. Il n'est toutefois fait mention ni de la forme de la toiture, ni de la hauteur à la corniche du futur bâtiment. Comme le relève le Tribunal cantonal, rien n'empêche dès lors le constructeur d'opter pour un bâtiment à toit plat d'une hauteur de 18 m d'une forme cubique. L'ouvrage prendrait dans cette hypothèse un aspect imposant, sans rapport avec l'environnement sensible du PPA, en particulier le Château et la Salle del Castillo, qui a une hauteur à la corniche de 12,6 m. Les juges cantonaux ont ainsi considéré que, dépourvu de toute prescription relative à l'esthétique et à l'intégration de la nouvelle construction, le règlement litigieux ne respecterait pas l'art. 86 al. 3 LATC, qui prévoit expressément que les règlements communaux doivent contenir des dispositions en vue d'éviter l'enlaidissement des localités et de leurs abords. Le recourant ne démontre pas que l'art. 86 al. 3 LATC aurait été appliqué de manière arbitraire. Il se contente d'affirmer que la clause générale d'esthétique de cette disposition s'adresse en première ligne aux règlements généraux sur les constructions des communes et non pas aux règlements particuliers tels ceux qui traitent d'un PPA, les dispositions générales du règlement sur les constructions étant de toute manière applicables à titre supplétif. Or, contrairement à l'avis du recourant, il n'est pas insoutenable de considérer qu'en utilisant le terme de "règlements communaux", le législateur cantonal n'a pas exclu les plans d'affectation, qui comprennent les plans proprement dits et les dispositions règlementaires qui s'y rapportent (cf. art. 43 al. 2 LATC). Il n'est pas contesté que le secteur de la Grande Place est particulièrement sensible pour la ville de Vevey. Dans ces conditions, un simple renvoi du RPPA à la clause esthétique contenue dans le règlement communal de la ville de Vevey sur les constructions apparaît insuffisant. Le Tribunal cantonal pouvait ainsi considérer, sans tomber dans l'arbitraire, qu'en tant qu'il se bornait à délimiter des gabarits rectangulaires de grande dimension, le PPA litigieux ne pouvait être admis. En effet, comme l'ont relevé les juges cantonaux, lorsqu'un plan d'affectation permet l'édification d'une construction nouvelle dans un site sensible caractérisé par la présence de constructions existantes de grande valeur patrimoniale, sa réglementation doit contenir non seulement des dispositions générales sur l'esthétique et sur l'intégration au site, mais encore des prescriptions précises garantissant cette intégration en tenant compte des caractéristiques des bâtiments existants, telles que des dispositions relatives à la volumétrie, aux façades, à la toiture, etc. En jugeant dans ce sens, le Tribunal cantonal a contrôlé l'opportunité du PPA litigieux et est arrivé à la conclusion que celui-ci n'était pas adéquat, puisqu'il n'assurait pas l'intégration de la construction future. Il n'a ainsi pas excédé ses compétences ni par conséquent violé l'autonomie communale du recourant.</w:t>
      </w:r>
    </w:p>
    <w:p>
      <w:r>
        <w:rPr>
          <w:b/>
        </w:rPr>
        <w:t>E. 4</w:t>
      </w:r>
    </w:p>
    <w:p>
      <w:r>
        <w:t>Il résulte de ce qui précède que le recours doit être rejeté, à la charge de C.________ SA qui succombe ( art. 65 et 66 al. 1 et 4 LTF ). Les intimés, assistés d'un avocat, ont droit à des dépens, à la charge du Conseil communal de Vevey et de C.________ SA (art. 68 al. 1, 2 et 4 en relation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