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446/2020 vom 30. September 2020</w:t>
      </w:r>
    </w:p>
    <w:p>
      <w:r>
        <w:t>Bundesgericht, 2020-09-30, FR</w:t>
      </w:r>
    </w:p>
    <w:p>
      <w:r>
        <w:rPr>
          <w:b/>
        </w:rPr>
        <w:t xml:space="preserve">Quelle: </w:t>
      </w:r>
      <w:r>
        <w:t>https://mcp.opencaselaw.ch/entscheid/bger_1C_446_2020</w:t>
      </w:r>
    </w:p>
    <w:p>
      <w:r>
        <w:t>FR: TF 1C 446/2020 du 30 septembre 2020</w:t>
      </w:r>
    </w:p>
    <w:p>
      <w:r>
        <w:t>IT: TF 1C 446/2020 del 30 settembre 2020</w:t>
      </w:r>
    </w:p>
    <w:p>
      <w:pPr>
        <w:pStyle w:val="Heading2"/>
      </w:pPr>
      <w:r>
        <w:t>Regeste</w:t>
      </w:r>
    </w:p>
    <w:p>
      <w:r>
        <w:t>Entraide judiciaire internationale en matière pénale aux Etats-Unis; remise de moyens de preuve | Entraide et extradition</w:t>
      </w:r>
    </w:p>
    <w:p>
      <w:pPr>
        <w:pStyle w:val="Heading2"/>
      </w:pPr>
      <w:r>
        <w:t>Erwägungen</w:t>
      </w:r>
    </w:p>
    <w:p>
      <w:r>
        <w:rPr>
          <w:b/>
        </w:rPr>
        <w:t>E. 1</w:t>
      </w:r>
    </w:p>
    <w:p>
      <w:r>
        <w:t>Selon l' art. 84 LTF , le recours est recevable à l'encontre d'un arrêt du Tribunal pénal fédéral en matière d'entraide judiciaire internationale si celui-ci a pour objet notamment la transmission de renseignements concernant le domaine secret et s'il concerne 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142 IV 250 consid. 1.3 p. 254). En vertu de l' art. 42 al. 2 LTF , il incombe à la partie recourante de démontrer que les conditions d'entrée en matière posées à l' art. 84 LTF sont réunies ( ATF 139 IV 294 consid. 1.1 p. 297). En particulier, il ne suffit pas d'invoquer des violations des droits fondamentaux de procédure pour justifier l'entrée en matière; seule une violation importante, suffisamment détaillée et crédible peut conduire, le cas échéant, à considérer que la condition de recevabilité posée à l' art. 84 al. 2 LTF est réalisée ( ATF 145 IV 99 consid. 1.5 p. 107).</w:t>
      </w:r>
    </w:p>
    <w:p>
      <w:r>
        <w:rPr>
          <w:b/>
        </w:rPr>
        <w:t>E. 2</w:t>
      </w:r>
    </w:p>
    <w:p>
      <w:r>
        <w:t>Les recourantes soulèvent quatre griefs qui justifieraient selon elles une entrée en matière.</w:t>
      </w:r>
    </w:p>
    <w:p>
      <w:r>
        <w:rPr>
          <w:b/>
        </w:rPr>
        <w:t>E. 2.1</w:t>
      </w:r>
    </w:p>
    <w:p>
      <w:r>
        <w:t>Elles estiment, expertise privée à l'appui, que la compétence de l'Etat requérant ne serait pas donnée pour mener une enquête contre elles-mêmes ou leur ayant droit (ressortissant vénézuélien domicilié en République dominicaine), la demande d'entraide étant muette sur les infractions commises par ces derniers sur territoire américain. Les recourantes ne contestent toutefois pas qu'une telle compétence existe à l'égard de D.________, auteur principal dont les agissements, commis partiellement sur sol américain, sont à l'origine de l'enquête et de la demande d'entraide. Dès le moment où une telle compétence répressive est reconnue à l'égard de la personne poursuivie, l'autorité requérante peut étendre ses recherches à d'autres personnes, physiques ou morales, sans avoir à démontrer, pour chacune d'elles, sa compétence répressive. Le grief est manifestement mal fondé.</w:t>
      </w:r>
    </w:p>
    <w:p>
      <w:r>
        <w:rPr>
          <w:b/>
        </w:rPr>
        <w:t>E. 2.2</w:t>
      </w:r>
    </w:p>
    <w:p>
      <w:r>
        <w:t>Il en va de même du grief relatif à la motivation de la demande d'entraide; à ce sujet, les recourantes se livrent - en se fondant sur la même expertise - à une argumentation à décharge, méconnaissant que l'autorité requérante peut faire état de simples soupçons sans avoir à prouver les faits qu'elle allègue. En l'occurrence, la demande d'entraide expose clairement les faits reprochés à D.________ et allègue - sans avoir à le démontrer - que l'ayant droit des recourantes serait l'associé de ce dernier et que les comptes visés auraient notamment pu permettre le paiement de pots-de-vin. Cela constitue à l'évidence une motivation suffisante.</w:t>
      </w:r>
    </w:p>
    <w:p>
      <w:r>
        <w:rPr>
          <w:b/>
        </w:rPr>
        <w:t>E. 2.3</w:t>
      </w:r>
    </w:p>
    <w:p>
      <w:r>
        <w:t>L'argument tiré de l'interdiction des "fishing expeditions" n'est pas mieux fondé dans la mesure où les soupçons de l'autorité requérante sont clairement articulés et que les documents à transmettre sont susceptibles d'apporter des éclaircissements à ce sujet, y compris le cas échéant à décharge. Les trois griefs précités ne sauraient ainsi justifier une entrée en matière.</w:t>
      </w:r>
    </w:p>
    <w:p>
      <w:r>
        <w:rPr>
          <w:b/>
        </w:rPr>
        <w:t>E. 3</w:t>
      </w:r>
    </w:p>
    <w:p>
      <w:r>
        <w:t>Invoquant encore la protection de la bonne foi ( art. 9 Cst. ) ainsi que leur droit d'être entendues, les recourantes rappellent que, selon la décision de clôture du 29 août 2019, la documentation bancaire non caviardée portait du 2 janvier 2012 au 30 juin 2016 (clôture) pour un compte, du 9 janvier 2012 au 30 novembre 2016 pour le deuxième, et du 5 janvier 2012 au 29 novembre 2016 (clôture) pour le troisième. L'OFJ ayant considéré que l'autorité requérante avait expressément limité la période d'investigations, le relevé des transactions a été "supprimé en conséquence". Les recourantes relèvent que, parmi les pièces destinées à la transmission qui leur avaient été remises par la Cour des plaintes sous forme de clé USB en novembre 2019, certaines (près de 300) ne figuraient pas dans le dossier consulté le 30 juillet 2019 auprès de l'OFJ. En particulier, de nombreuses pièces dateraient d'avant 2012 et d'après novembre 2016. Le 26 novembre 2019, l'OFJ a expliqué devant la Cour des plaintes qu'il s'agissait d'une inadvertance due à la réception échelonnée des documents en question, et que l'ensemble des documents figurant sur la clé USB étaient couverts par la décision de clôture, sans qu'il soit besoin de rendre une nouvelle décision.</w:t>
      </w:r>
    </w:p>
    <w:p>
      <w:r>
        <w:rPr>
          <w:b/>
        </w:rPr>
        <w:t>E. 3.1</w:t>
      </w:r>
    </w:p>
    <w:p>
      <w:r>
        <w:t>La Cour des plaintes a reconnu que les recourantes n'avaient pas pu s'exprimer au sujet des pièces supplémentaires avant le prononcé de la décision de clôture, mais elle a considéré qu'une telle violation du droit d'être entendu avait pu être réparée par la consultation exercée durant la procédure de recours. Une telle réparation est certes en principe possible pour autant que l'irrégularité n'est pas particulièrement grave (arrêt 1C_168/2016 du 22 avril 2016 consid. 1.3.2).</w:t>
      </w:r>
    </w:p>
    <w:p>
      <w:r>
        <w:rPr>
          <w:b/>
        </w:rPr>
        <w:t>E. 3.2</w:t>
      </w:r>
    </w:p>
    <w:p>
      <w:r>
        <w:t>L'arrêt attaqué ne se prononce nullement, en revanche, sur la conformité des pièces supplémentaires avec le contenu même de l'ordonnance de clôture, alors que cet argument était expressément soulevé dans l'écriture des recourantes du 19 novembre 2019. En omettant d'examiner ce grief pertinent et valablement soulevé devant elle, la Cour des plaintes a ainsi violé le droit d'être entendu des recourantes, garanti par l' art. 29 al. 2 Cst. Cette violation ne peut quant à elle être qualifiée de légère, car elle pourrait impliquer la transmission à l'étranger de renseignements qui n'aurait pas fait l'objet d'une ordonnance de clôture, voire qui ont été expressément exclus par celle-ci.</w:t>
      </w:r>
    </w:p>
    <w:p>
      <w:r>
        <w:rPr>
          <w:b/>
        </w:rPr>
        <w:t>E. 4</w:t>
      </w:r>
    </w:p>
    <w:p>
      <w:r>
        <w:t>Le recours est par conséquent admis sur ce point et la cause est renvoyée à la Cour des plaintes afin qu'elle examine si l'ensemble des pièces destinées à la transmission sont, comme l'affirme l'OFJ, couvertes par l'ordonnance de clôture. Dans le cas contraire, les pièces en question devront être écartées du dossier et faire l'objet, le cas échéant, d'une ordonnance complémentaire. Les recourantes, qui obtiennent partiellement gain de cause, ont droit à des dépens réduits à la charge de l'OFJ. Les frais judiciaires, également réduits, sont mis à leur charge en application de l'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