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1C_445/2013 vom 8. November 2013</w:t>
      </w:r>
    </w:p>
    <w:p>
      <w:r>
        <w:t>Bundesgericht, 2013-11-08, FR</w:t>
      </w:r>
    </w:p>
    <w:p>
      <w:r>
        <w:rPr>
          <w:b/>
        </w:rPr>
        <w:t xml:space="preserve">Quelle: </w:t>
      </w:r>
      <w:r>
        <w:t>https://mcp.opencaselaw.ch/entscheid/bger_1C_445_2013</w:t>
      </w:r>
    </w:p>
    <w:p>
      <w:r>
        <w:t>FR: TF 1C_445/2013 du 8 novembre 2013</w:t>
      </w:r>
    </w:p>
    <w:p>
      <w:r>
        <w:t>IT: TF 1C_445/2013 del 8 novembre 2013</w:t>
      </w:r>
    </w:p>
    <w:p>
      <w:pPr>
        <w:pStyle w:val="Heading2"/>
      </w:pPr>
      <w:r>
        <w:t>Erwägungen</w:t>
      </w:r>
    </w:p>
    <w:p>
      <w:r>
        <w:rPr>
          <w:b/>
        </w:rPr>
        <w:t>E. 1</w:t>
      </w:r>
    </w:p>
    <w:p>
      <w:r>
        <w:t>Avec le retrait de la demande de permis de construire, le recours devant le Tribunal fédéral devient sans objet. Il en va de même des décisions rendues par les instances précédentes. Dans un tel cas, le Tribunal fédéral raie la cause du rôle et statue sur les frais judiciaires par une décision sommairement motivée ( art. 71 LTF et 72 PCF).</w:t>
      </w:r>
    </w:p>
    <w:p>
      <w:r>
        <w:rPr>
          <w:b/>
        </w:rPr>
        <w:t>E. 1.1</w:t>
      </w:r>
    </w:p>
    <w:p>
      <w:r>
        <w:t>Les frais de la procédure sont supportés par celui qui les a engendrés ( art. 66 al. 1 et 3 LTF ). Compte tenu de l'issue de la cause, les frais judiciaires et les dépens sont mis à la charge des intimés qui ont retiré leur demande de permis de construire et ainsi rendu la procédure sans objet. Il y a lieu également, conformément aux art. 67 et 68 al. 5 LTF , de fixer les frais et dépens pour la procédure devant l'instance précédente, soit le Tribunal cantonal.</w:t>
      </w:r>
    </w:p>
    <w:p>
      <w:r>
        <w:t>Comme le retrait du projet intervient au premier stade de la procédure devant le Tribunal fédéral, il convient de réduire les frais judiciaires pour la procédure fédérale à hauteur de 300 fr. ( art. 66 al. 2 LTF ). Les frais fixés dans l'arrêt cantonal doivent être mis à la charge des intimés.</w:t>
      </w:r>
    </w:p>
    <w:p>
      <w:r>
        <w:rPr>
          <w:b/>
        </w:rPr>
        <w:t>E. 1.2</w:t>
      </w:r>
    </w:p>
    <w:p>
      <w:r>
        <w:t>La recourante a fait appel à un avocat pour l'assister dans l'ensemble de la procédure, ce qui justifie l'octroi de dépens. Au vu du grand nombre de recours similaires déposés par la recourante, il convient de réduire les dépens et de les fixer à 2'500 fr. pour l'ensemble des procédures fédérale et cantonale.</w:t>
      </w:r>
    </w:p>
    <w:p>
      <w:r>
        <w:t>La cause doit enfin être renvoyée à l'autorité communale afin que celle-ci statue, le cas échéant, à nouveau sur les frais de la procédure d'autorisation de construire et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