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1C_442/2022 vom 16. Januar 2023</w:t>
      </w:r>
    </w:p>
    <w:p>
      <w:r>
        <w:t>Bundesgericht, 2023-01-16, FR</w:t>
      </w:r>
    </w:p>
    <w:p>
      <w:r>
        <w:rPr>
          <w:b/>
        </w:rPr>
        <w:t xml:space="preserve">Quelle: </w:t>
      </w:r>
      <w:r>
        <w:t>https://mcp.opencaselaw.ch/entscheid/bger_1C_442_2022</w:t>
      </w:r>
    </w:p>
    <w:p>
      <w:r>
        <w:t>FR: TF 1C_442/2022 du 16 janvier 2023</w:t>
      </w:r>
    </w:p>
    <w:p>
      <w:r>
        <w:t>IT: TF 1C_442/2022 del 16 gennaio 2023</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Il convient donc d'entrer en matière sur le recours.</w:t>
      </w:r>
    </w:p>
    <w:p>
      <w:r>
        <w:rPr>
          <w:b/>
        </w:rPr>
        <w:t>E. 2</w:t>
      </w:r>
    </w:p>
    <w:p>
      <w:r>
        <w:t>Le recourant se plaint d'un établissement inexact des faits.</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II 404 consid. 10.1).</w:t>
      </w:r>
    </w:p>
    <w:p>
      <w:r>
        <w:t>Les faits allégués par le recourant seront examinés dans la mesure de leur pertinence avec la question de fond (consid. 4.2.2 ci-après).</w:t>
      </w:r>
    </w:p>
    <w:p>
      <w:r>
        <w:rPr>
          <w:b/>
        </w:rPr>
        <w:t>E. 3</w:t>
      </w:r>
    </w:p>
    <w:p>
      <w:r>
        <w:t>L'entrée en vigueur, au 1er janvier 2018, de la nouvelle loi sur la nationalité suisse du 20 juin 2014 (LN; RS 141.0) a entraîné l'abrogation de l'aLN,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w:t>
      </w:r>
    </w:p>
    <w:p>
      <w:r>
        <w:t>Selon la jurisprudence, le fait déterminant est celui de la signature de la déclaration de vie commune, voire de l'octroi de la naturalisation (arrêts 1C_411/2021 du 17 août 2022 consid. 3.1; 1C_126/2022 du 29 juillet 2022 consid. 2; 1C_574/2021 du 27 avril 2022 consid. 2.4).</w:t>
      </w:r>
    </w:p>
    <w:p>
      <w:r>
        <w:t>Dans la présente cause, la nationalité a été accordée au recourant selon les règles de l'ancien droit. La déclaration de vie commune a toutefois été faite à deux reprises, les 7 novembre et 20 décembre 2018, puis la naturalisation a été accordée le 23 janvier 2019. Tous ces faits s'étant produits après l'entrée en vigueur de la LN, ses disposition sont applicables en l'espèce.</w:t>
      </w:r>
    </w:p>
    <w:p>
      <w:r>
        <w:rPr>
          <w:b/>
        </w:rPr>
        <w:t>E. 4</w:t>
      </w:r>
    </w:p>
    <w:p>
      <w:r>
        <w:t>Le recourant fait valoir une violation de l' art. 36 al. 1 LN .</w:t>
      </w:r>
    </w:p>
    <w:p>
      <w:r>
        <w:rPr>
          <w:b/>
        </w:rPr>
        <w:t>E. 4.1.1</w:t>
      </w:r>
    </w:p>
    <w:p>
      <w:r>
        <w:t>A teneur de l'art. 27 al. 1 aLN ( art. 21 al. 1 LN ), un étranger peut, ensuite de son mariage avec un ressortissant suisse, former une demande de naturalisation facilitée si, notamment, il a résidé en Suisse pendant cinq ans en tout (let. a), y réside depuis une année (let. b) et vit depuis trois ans en communauté conjugale avec un ressortissant suisse (let. c).</w:t>
      </w:r>
    </w:p>
    <w:p>
      <w:r>
        <w:t>Conformément à l' art. 36 LN ,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1C_142/2019 du 27 juin 2019 consid. 4.1; 1C_98/2019 du 3 mai 2019 consid. 3.1).</w:t>
      </w:r>
    </w:p>
    <w:p>
      <w:r>
        <w:t>La nature potestative de l' art. 36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w:t>
      </w:r>
    </w:p>
    <w:p>
      <w:r>
        <w:t>D'après la jurisprudence, la notion d'union conjugale (cf. art. 21 al. 2 let. a LN ) - correspondant à la notion de communauté conjugale conjugale sous l'ancien droit ( art. 27 al. 1 let . c aLN)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130 II 482 consid. 2; 128 II 97 consid. 3a).</w:t>
      </w:r>
    </w:p>
    <w:p>
      <w:r>
        <w:rPr>
          <w:b/>
        </w:rPr>
        <w:t>E. 4.1.2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130 II 482 consid. 3.2).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132 II 113 consid. 3.2), mais encore de son propre intérêt ( ATF 130 II 482 consid. 3.2). Le fait de taxer de plus ou moins rapide un enchaînement de circonstances pertinentes pour l'issue d'un litige relève du pouvoir d'appréciation du juge, opération dans le cadre de laquelle le Tribunal fédéral n'intervient qu'en cas d'excès de ce pouvoir (arrêts 1C_142/2019 du 27 juin 2019 consid. 4.2; 1C_172/2012 du 11 mai 2012 consid. 2.3).</w:t>
      </w:r>
    </w:p>
    <w:p>
      <w:r>
        <w:t>S'agissant d'une présomption de fait, qui ressortit à l'appréciation des preuves et ne modifie pas le fardeau de la preuve (cf. ATF 135 II 161 consid. 3),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4.2.1</w:t>
      </w:r>
    </w:p>
    <w:p>
      <w:r>
        <w:t>En l'espèce, le TAF a retenu que la chronologie des événements depuis la signature de la déclaration de la vie commune (7 novembre et 20 décembre 2018), en particulier le temps relativement court séparant celle-ci, la décision de naturalisation (23 janvier 2019), la requête commune de divorce (3 septembre 2019) et la fin du ménage commun (1 er novembre 2019), intervenue moins de dix mois après l'octroi de la naturalisation facilitée, était de nature à fonder la présomption de fait selon laquelle la communauté conjugale des époux n'était plus stable et orientée vers l'avenir au moment de la décision de naturalisation.</w:t>
      </w:r>
    </w:p>
    <w:p>
      <w:r>
        <w:t>Le recourant, qui alléguait pour l'essentiel que la tâche était devenue trop lourde et qu'il souhaitait changer de vie face aux récents développements de la maladie de son épouse, n'était en outre pas parvenu à renverser cette présomption. En effet, la maladie de son ex-épouse - au bénéfice de prestations de l'assurance-invalidité depuis 2003, qui avait développé par le passé un cancer dont elle avait guéri et à qui il restait une tumeur au cerveau - était une situation qui avait prévalu pendant toute la durée du mariage. A ce sujet, le recourant avait encore déclaré au SEM le 1er mai 2018 qu'il était prêt à maintenir son union conjugale en cas d'éventuelle péjoration de l'état de santé de son épouse, dans la mesure où il s'était engagé, selon ses termes, "pour le meilleur et pour le pire", et espérait que leur histoire continuerait. Il n'avait fourni aucun détail ni moyen de preuve ni démontré quel type de pathologie médicale souffrait désormais son épouse, autre que celle déjà présente.</w:t>
      </w:r>
    </w:p>
    <w:p>
      <w:r>
        <w:rPr>
          <w:b/>
        </w:rPr>
        <w:t>E. 4.2.2</w:t>
      </w:r>
    </w:p>
    <w:p>
      <w:r>
        <w:t>Le recourant expose sur plusieurs pages de son recours une argumentation tendant à démontrer en quoi le mariage qu'il a conclu n'était pas fictif, au contraire des déclarations faites par son ex-épouse dans le cadre d'une procédure pénale le concernant. Or, ainsi que l'a expressément souligné le TAF, la sincérité du mariage au moment où celui-ci a été conclu ne fait pas l'objet de la présente procédure, ni n'a été jugé décisif pour retenir une obtention frauduleuse de la naturalisation. Il en va de même de la durée du mariage, seule comptant la volonté commune et intacte des époux de maintenir une union conjugale stable au moment de la procédure de naturalisation facilitée.</w:t>
      </w:r>
    </w:p>
    <w:p>
      <w:r>
        <w:t>En rapport avec le raisonnement du TAF, le recourant se borne à faire état d'une "dégradation subite" de l'état de santé de son épouse sans la démontrer - ni même tenter de le faire -, de sorte que cela ne peut être retenu en l'espèce. Le recourant n'explique notamment pas le fait que son ex-épouse ait toujours été en état de partir en vacances pour son "traditionnel" voyage avec une amie en Tunisie, élément qui contredit pourtant de manière flagrante un état de santé rendant subitement la poursuite de l'union conjugale insupportable.</w:t>
      </w:r>
    </w:p>
    <w:p>
      <w:r>
        <w:t>Le recourant affirme lui-même que les dissensions que lui et son épouse connaissaient les ont éloignés "avec l'écoulement du temps", ce indépendamment d'un facteur de détérioration soudain (p. 27 du recours). Le seul fait qu'il n'ait quitté le domicile conjugal que deux mois après la requête commune en divorce, alors qu'il "avait la possibilité de quitter ce logement bien plus tôt, dans la mesure où il disposait d'un appartement [ailleurs]", ne démontre en rien la séparation douloureuse qu'il allègue. La date officielle de son changement d'adresse ne saurait en effet être décisive. Pour le surplus, le recourant ne fait pas état d'une procédure de mesures protectrices de l'union conjugale ou du recours à une personne tierce en vue de tenter de sauver le mariage.</w:t>
      </w:r>
    </w:p>
    <w:p>
      <w:r>
        <w:t>Enfin, les propos, mis en avant par le recourant, de diverses personnes attestant d'un "couple soudé" ou d'activités communes ne sauraient changer cette appréciation puisqu'elles sont étrangères à la question de la prétendue subite évolution des circonstances justifiant le rapide divorce après l'octroi de la naturalisation facilitée.</w:t>
      </w:r>
    </w:p>
    <w:p>
      <w:r>
        <w:t>En définitive, ainsi que l'a retenu le TAF, le recourant ne parvient pas à renverser la présomption de déclarations abusives en vue de l'octroi de la naturalisation facilitée. L'annulation de celle-ci respecte par conséquent les conditions posées par l' art. 36 al. 1 LN .</w:t>
      </w:r>
    </w:p>
    <w:p>
      <w:r>
        <w:rPr>
          <w:b/>
        </w:rPr>
        <w:t>E. 5</w:t>
      </w:r>
    </w:p>
    <w:p>
      <w:r>
        <w:t>Le recourant se plaint également d'une violation de l' art. 36 al. 4 LN en raison de la perte de la nationalité suisse prononcée à l'égard de sa fille, née de son union avec une compatriote albanaise le 9 septembre 2020.</w:t>
      </w:r>
    </w:p>
    <w:p>
      <w:r>
        <w:rPr>
          <w:b/>
        </w:rPr>
        <w:t>E. 5.1</w:t>
      </w:r>
    </w:p>
    <w:p>
      <w:r>
        <w:t>A teneur de l' art. 36 al. 4 LN , l'annulation de la naturalisation facilitée fait perdre la nationalité suisse aux enfants qui l'ont acquise en vertu de la décision annulée; font exception les enfants qui, au moment où la décision d'annulation est prise, ont atteint l'âge de 16 ans et remplissent les conditions de résidence prévues à l' art. 9 LN et les conditions d'aptitude prévues à l' art. 11 LN (let. a) et les enfants qui deviendraient apatrides ensuite de l'annulation (let. b).</w:t>
      </w:r>
    </w:p>
    <w:p>
      <w:r>
        <w:t>L'art. 1 § 1 de la Convention du 28 septembre 1954 relative au statut des apatrides (RS 0.142.40) définit comme "apatride" une personne qu'aucun Etat ne considère comme son ressortissant par application de sa législation. Selon la jurisprudence constante du Tribunal fédéral, cette disposition doit être interprétée en ce sens que les apatrides sont des personnes qui, sans intervention de leur part, ont été privées de leur nationalité et n'ont aucune possibilité de la recouvrer. En revanche, cette convention n'est pas applicable aux personnes qui abandonnent volontairement leur nationalité ou refusent, sans raisons valables, de la recouvrer ou d'en acquérir une alors qu'elles ont la possibilité de le faire. Il appartient ainsi à la personne qui peut prétendre à une nationalité d'entreprendre toutes les démarches utiles pour se voir délivrer cette nationalité et les documents d'identité y afférents ( ATF 147 II 421 consid. 5.3; arrêts 2C_587/2021 du 16 février 2022 consid. 5.3, 1C_339/2022 du 15 décembre 2022 consid. 3.3).</w:t>
      </w:r>
    </w:p>
    <w:p>
      <w:r>
        <w:rPr>
          <w:b/>
        </w:rPr>
        <w:t>E. 5.2</w:t>
      </w:r>
    </w:p>
    <w:p>
      <w:r>
        <w:t>Le TAF a retenu qu'il n'existait pas de risque d'apatridie pour la fille du recourant dès lors qu'elle pouvait, en vertu des art. 4 et 5 de la loi albanaise n° 113/2020 sur la nationalité, se prévaloir de la nationalité albanaise par sa mère.</w:t>
      </w:r>
    </w:p>
    <w:p>
      <w:r>
        <w:t>Sans citer de disposition légale, le recourant affirme de façon péremptoire que l'issue des démarches est incertaine, que la législation albanaise ne nous est pas connue et que rien ne permet d'affirmer que l'enfant obtiendra de manière certaine la nationalité albanaise, étant précisé que celle-ci réside en Suisse et non pas en Albanie. Ce faisant, le recourant ne discute pas le raisonnement tenu par l'instance précédente. En particulier, il n'expose pas en quoi les dispositions légales étrangères retenues par le TAF ne seraient pas applicables en l'espèce. Il ne démontre pas non plus que toute démarche utile auprès des autorités albanaises en vue de la reconnaissance de la nationalité albanaise pour son enfant serait d'emblée vaine.</w:t>
      </w:r>
    </w:p>
    <w:p>
      <w:r>
        <w:t>Insuffisamment motivé dès lors qu'il n'expose pas en quoi l'acte attaqué violerait le droit ( art. 42 al. 2 LTF ), le grief est irrecevable.</w:t>
      </w:r>
    </w:p>
    <w:p>
      <w:r>
        <w:rPr>
          <w:b/>
        </w:rPr>
        <w:t>E. 6</w:t>
      </w:r>
    </w:p>
    <w:p>
      <w:r>
        <w:t>Il s'ensuit que le recours doit être rejeté, aux frais de son auteur,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