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1C_441/2010 vom 8. Februar 2011</w:t>
      </w:r>
    </w:p>
    <w:p>
      <w:r>
        <w:t>Bundesgericht, 2011-02-08, FR</w:t>
      </w:r>
    </w:p>
    <w:p>
      <w:r>
        <w:rPr>
          <w:b/>
        </w:rPr>
        <w:t xml:space="preserve">Quelle: </w:t>
      </w:r>
      <w:r>
        <w:t>https://mcp.opencaselaw.ch/entscheid/bger_1C_441_2010</w:t>
      </w:r>
    </w:p>
    <w:p>
      <w:r>
        <w:t>FR: TF 1C_441/2010 du 8 février 2011</w:t>
      </w:r>
    </w:p>
    <w:p>
      <w:r>
        <w:t>IT: TF 1C_441/2010 del 8 febbraio 2011</w:t>
      </w:r>
    </w:p>
    <w:p>
      <w:pPr>
        <w:pStyle w:val="Heading2"/>
      </w:pPr>
      <w:r>
        <w:t>Erwägungen</w:t>
      </w:r>
    </w:p>
    <w:p>
      <w:r>
        <w:rPr>
          <w:b/>
        </w:rPr>
        <w:t>E. 1</w:t>
      </w:r>
    </w:p>
    <w:p>
      <w:r>
        <w:t>La décision attaquée a été rendue, en dernière instance cantonale, dans une cause de droit public relevant du droit de l'aménagement du territoire, au sens de l' art. 82 let. a LTF . Aucune des exceptions prévues à l' art. 83 LTF n'est réalisée, de sorte que la voie du recours en matière de droit public est ouverte (art. 82 à 89 LTF).</w:t>
      </w:r>
    </w:p>
    <w:p>
      <w:r>
        <w:rPr>
          <w:b/>
        </w:rPr>
        <w:t>E. 1.1</w:t>
      </w:r>
    </w:p>
    <w:p>
      <w:r>
        <w:t>En tant que propriétaires d'immeubles directement concernés par le plan d'alignement, les recourants C.________ et A.________ ont manifestement qualité pour recourir au sens de l' art. 89 al. 1 LTF . D.________ et E.________ sont propriétaires d'une parcelle voisine située en dehors du périmètre concerné par le plan d'alignement. Ils peuvent toutefois se voir reconnaître la qualité pour agir car le plan contesté a pour effet de permettre l'implantation des constructions en limite des voies publiques, alors qu'auparavant une distance minimale de 8 m depuis l'axe de la route devait être respectée. Bien qu'un immeuble se trouve déjà construit en bordure de la route, face à leur parcelle, ils sont atteints par cette modification de la situation juridique. Les recourants ont tous pris part à la procédure devant la cour cantonale; ils sont particulièrement atteints par la décision attaquée et ont un intérêt digne de protection à son annulation, quand bien même ils pourraient eux aussi bénéficier des nouvelles possibilités de bâtir offertes par le plan litigieux.</w:t>
      </w:r>
    </w:p>
    <w:p>
      <w:r>
        <w:rPr>
          <w:b/>
        </w:rPr>
        <w:t>E. 1.2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w:t>
      </w:r>
    </w:p>
    <w:p>
      <w:r>
        <w:rPr>
          <w:b/>
        </w:rPr>
        <w:t>E. 2</w:t>
      </w:r>
    </w:p>
    <w:p>
      <w:r>
        <w:t>Les recourants invoquent les art. 25a et 33 al. 4 LAT . Ils relèvent que l'alignement contesté a été adopté afin de permettre la réalisation du projet sur les parcelles 58, 59, 62 et 63. Devant la cour cantonale, ils avaient demandé la suspension de la cause jusqu'à droit connu concernant l'autorisation de construire, afin que le recours formé contre cette dernière puisse être traité simultanément. La cour cantonale a refusé, par décision incidente du 1er mars 2010, en considérant que le plan d'alignement était un instrument d'urbanisme conservant sa validité indépendamment du permis de construire. Les recourants contestent cette appréciation en relevant que l'alignement n'est fixé que pour l'îlot, en fonction du projet du construction. Le refus de suspendre la procédure violerait le principe de coordination.</w:t>
      </w:r>
    </w:p>
    <w:p>
      <w:r>
        <w:rPr>
          <w:b/>
        </w:rPr>
        <w:t>E. 2.1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Sont ainsi visés, en premier lieu, les cas où une autorisation de défricher au sens de l'art. 12 de la loi fédérale sur les forêts (LFo; RS 921.0) ou une autre autorisation spéciale doit être délivrée à l'occasion de l'adoption d'un plan d'affectation (FF 1994 III 1074). L' art. 33 al. 4 LAT prévoit que lorsque l' art. 25a LAT est applicable, les recours contre les décisions des autorités cantonales doivent être portés devant une autorité de recours unique.</w:t>
      </w:r>
    </w:p>
    <w:p>
      <w:r>
        <w:rPr>
          <w:b/>
        </w:rPr>
        <w:t>E. 2.2</w:t>
      </w:r>
    </w:p>
    <w:p>
      <w:r>
        <w:t>L'acte attaqué est un plan d'alignement au sens de l'art. 41 du règlement communal des constructions et des zones (RCCZ). Un tel plan fixe, notamment le long des voies de communication, les limites au-delà desquelles les terrains sont ouverts à la construction. Il prime les dispositions générales relatives aux distances (al. 1). Il peut comporter des alignements architecturaux déterminant l'emplacement, le gabarit et l'alignement d'une rangée de façades, et des alignements arrières et intérieurs déterminant la profondeur autorisée et la dimension des cours intérieures (al. 2). L'approbation du plan par le Conseil d'Etat confère à la commune le droit d'exproprier les immeubles concernés par la réalisation du projet (al. 4 et 5). En l'absence d'alignement, les distances minimales au domaine public sont de 8 m à l'axe, s'agissant de routes communales (art. 53 RCCZ).</w:t>
      </w:r>
    </w:p>
    <w:p>
      <w:r>
        <w:t>Le but d'un plan d'alignement consiste ainsi dans la préservation d'un espace suffisant pour les voies publiques. Ses effets essentiels résident dans la restriction au droit de propriété qui peut en résulter pour les propriétaires riverains ( ATF 129 II 276 consid. 3.4 p. 280).</w:t>
      </w:r>
    </w:p>
    <w:p>
      <w:r>
        <w:t>En l'espèce, le plan litigieux a pour effet de permettre la construction en limite des voies publiques. Même s'il a été établi dans la perspective d'un projet de construction déterminé, le plan s'applique à l'ensemble de l'îlot dont font aussi partie les parcelles n° 64 et 65 des recourants. Ses effets juridiques sont indépendants de la réalisation du projet de construction puisque, comme le relève la cour cantonale, le plan subsisterait même en cas d'annulation du permis de construire ou de renonciation au projet. Le plan d'alignement ne change par ailleurs rien à l'affectation des parcelles et ne fixe ni gabarit, ni densité, ni dérogation à la réglementation applicable à la zone. L'adoption préalable du plan d'alignement ne comporte dès lors pas de risque d'aboutir à des décisions contradictoires, dans la mesure où toute autorisation de construire devra désormais être conforme à l'alignement fixé. Les recourants n'expliquent d'ailleurs pas en quoi le refus de suspendre la procédure de recours cantonal les aurait empêchés de faire valoir leurs arguments, dans l'une ou l'autre des procédures. Le grief doit par conséquent être écarté.</w:t>
      </w:r>
    </w:p>
    <w:p>
      <w:r>
        <w:rPr>
          <w:b/>
        </w:rPr>
        <w:t>E. 3</w:t>
      </w:r>
    </w:p>
    <w:p>
      <w:r>
        <w:t>Invoquant leur droit d'être entendus, les recourants reprochent à la cour cantonale de ne pas avoir procédé à une inspection locale, nécessaire selon eux pour apprécier l'impact du projet de construction, en particulier sur le Château de Monthey, la situation désastreuse sous l'angle de l'accessibilité, de l'ensoleillement et de la sécurité, ainsi que pour juger de la pertinence des limites fixées dans le plan d'alignement. Les plans produits seraient insuffisants à ce sujet.</w:t>
      </w:r>
    </w:p>
    <w:p>
      <w:r>
        <w:rPr>
          <w:b/>
        </w:rPr>
        <w:t>E. 3.1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3.2</w:t>
      </w:r>
    </w:p>
    <w:p>
      <w:r>
        <w:t>Pour l'essentiel, les faits que les recourants entendaient démontrer se rapportaient non pas à l'alignement proprement dit, mais au projet de construction et à son impact sur le quartier. Cette question est toutefois étrangère à l'objet du litige, limité à la question de l'alignement des constructions. Contrairement à ce que soutiennent les recourants, les plans produits sont suffisants pour juger de la pertinence du tracé, dans la mesure où celui-ci ne fait que longer les voies publiques existantes. La cour cantonale n'a dès lors pas violé le droit d'être entendu en refusant de se rendre sur place.</w:t>
      </w:r>
    </w:p>
    <w:p>
      <w:r>
        <w:t>Pour la même raison, la demande d'inspection locale formulée devant le Tribunal fédéral doit être écartée, les recourants ne soulevant aucun grief de fond qui nécessiterait une connaissance des lieux plus précise que celle qui résulte du dossier.</w:t>
      </w:r>
    </w:p>
    <w:p>
      <w:r>
        <w:rPr>
          <w:b/>
        </w:rPr>
        <w:t>E. 4</w:t>
      </w:r>
    </w:p>
    <w:p>
      <w:r>
        <w:t>Les recourants se plaignent enfin d'une application arbitraire du droit cantonal. Ils reprochent au Tribunal cantonal d'avoir refusé d'appliquer la norme de l'Association des établissements cantonaux d'assurance-incendie (AEAI) aux immeubles situés de part et d'autre de la route alors que, du point de vue de la protection contre l'incendie, l'existence d'une route serait sans pertinence. Ils se prévalent aussi de l'art. 199 LR, qui impose de tenir compte des exigences de la sécurité du trafic et de celle des habitations, en relevant que la largeur de la route entre les parcelles n° 46 et 58 n'est que de 2 m.</w:t>
      </w:r>
    </w:p>
    <w:p>
      <w:r>
        <w:rPr>
          <w:b/>
        </w:rPr>
        <w:t>E. 4.1</w:t>
      </w:r>
    </w:p>
    <w:p>
      <w:r>
        <w:t>Selon la jurisprudence, la norme AEAI est directement applicable à titre de droit intercantonal et l'emporte sur le droit cantonal (notamment sur les distances entre constructions) qui lui serait contraire (arrêt 1C_303/2010 du 28 septembre 2010). Elle doit toutefois être appliquée dans le respect des droits constitutionnels, notamment du principe d'égalité de traitement. La jurisprudence considère que les distances de sécurité entre bâtiments doivent en principe aussi être observées pour des bâtiments situés de part et d'autre d'une route. Toutefois, le fait que ces distances ne peuvent être respectées dans un cas particulier, ne signifie pas qu'il est impossible de bâtir. La directive de protection incendie relative aux distances de sécurité prévoit, conformément à l'art. 28 de la norme, des mesures compensatoires telles que des exigences accrues en matière de combustibilité et de résistance au feu (même arrêt, consid. 2.7). Les normes invoquées par les recourants ne font donc pas obstacle à l'alignement contesté.</w:t>
      </w:r>
    </w:p>
    <w:p>
      <w:r>
        <w:rPr>
          <w:b/>
        </w:rPr>
        <w:t>E. 4.2</w:t>
      </w:r>
    </w:p>
    <w:p>
      <w:r>
        <w:t>Il en va de même de l'art. 199 de la loi valaisanne sur les routes, qui impose de tenir compte, dans la fixation des alignements, "de l'hygiène des habitations". De ce point de vue, le plan d'alignement ne change rien à la situation actuelle puisqu'il ne modifie pas la largeur de la route et qu'un bâtiment se trouve déjà érigé en face de la parcelle n° 46, à la même hauteur que la limite fixée dans le plan, voire même légèrement au-delà.</w:t>
      </w:r>
    </w:p>
    <w:p>
      <w:r>
        <w:rPr>
          <w:b/>
        </w:rPr>
        <w:t>E. 5</w:t>
      </w:r>
    </w:p>
    <w:p>
      <w:r>
        <w:t>Sur le vu de ce qui précède, le recours doit être rejeté, aux frais des recourants ( art. 66 al. 1 LTF ). Une indemnité de dépens est allouée à l'intimé F.________, à la charge solidaire des recourants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