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43/2025 vom 14. März 2025</w:t>
      </w:r>
    </w:p>
    <w:p>
      <w:r>
        <w:t>Bundesgericht, 2025-03-14, FR</w:t>
      </w:r>
    </w:p>
    <w:p>
      <w:r>
        <w:rPr>
          <w:b/>
        </w:rPr>
        <w:t xml:space="preserve">Quelle: </w:t>
      </w:r>
      <w:r>
        <w:t>https://mcp.opencaselaw.ch/entscheid/bger_1C_43_2025</w:t>
      </w:r>
    </w:p>
    <w:p>
      <w:r>
        <w:t>FR: TF 1C 43/2025 du 14 mars 2025</w:t>
      </w:r>
    </w:p>
    <w:p>
      <w:r>
        <w:t>IT: TF 1C 43/2025 del 14 marzo 2025</w:t>
      </w:r>
    </w:p>
    <w:p>
      <w:pPr>
        <w:pStyle w:val="Heading2"/>
      </w:pPr>
      <w:r>
        <w:t>Regeste</w:t>
      </w:r>
    </w:p>
    <w:p>
      <w:r>
        <w:t>Loi fédérale sur l'aide aux victimes d'infractions, dépens, assistance judiciaire | Procédure pénale</w:t>
      </w:r>
    </w:p>
    <w:p>
      <w:pPr>
        <w:pStyle w:val="Heading2"/>
      </w:pPr>
      <w:r>
        <w:t>Erwägungen</w:t>
      </w:r>
    </w:p>
    <w:p>
      <w:r>
        <w:rPr>
          <w:b/>
        </w:rPr>
        <w:t>E. 1</w:t>
      </w:r>
    </w:p>
    <w:p>
      <w:r>
        <w:t>La voie du recours en matière de droit public est ouverte à l'encontre de l'arrêt sur renvoi rendu par la Cour de droit administratif et public du Tribunal cantonal. L'Office fédéral de la justice bénéficie de la qualité pour recourir, la LAVI relevant de son domaine d'attributions (cf. art. 89 al. 2 let. a LTF en relation avec l'art. 7c al. 2 de l'ordonnance sur l'organisation du DFJP [Org DFJP; RS 172.213.1]). Le fait qu'il n'était pas partie à la procédure cantonale est sans conséquence sur sa vocation pour agir devant le Tribunal fédéral, la condition de la participation à l'instance précédente de l' art. 89 al. 1 let. a LTF n'étant pas applicable au recours des autorités fédérales (cf. ATF 136 II 359 consid. 1.2). Le droit de recours des autorités fédérales selon l' art. 89 al. 2 let. a LTF est de nature abstraite et autonome. Il sert à assurer une application correcte et uniforme du droit fédéral (cf. ATF 142 II 324 consid. 1.3.1; 136 II 359 consid. 1.2). Il ne présuppose pas l'existence d'un intérêt public supplémentaire; en revanche, il doit porter sur des problématiques concrètes rattachées à un cas particulier (cf. ATF 135 II 338 consid. 1.2.1; arrêt 1C_384/2021 du 18 août 2022 consid. 3.3.1). Cette condition est réalisée. La question juridique qui se pose est concrète, actuelle et potentiellement pertinente pour d'autres cas; on doit admettre que l'Office fédéral de la justice puisse la soumettre sans délai à l'examen du Tribunal fédéral, indépendamment du point de savoir si les destinataires de l'arrêt attaqué auraient pu se prévaloir d'un intérêt actuel digne de protection à contester l'arrêt querellé pour les raisons évoquées par la cour cantonale dans ses observations. Les autres conditions de recevabilité sont réunies, en sorte qu'il convient d'entrer en matière.</w:t>
      </w:r>
    </w:p>
    <w:p>
      <w:r>
        <w:rPr>
          <w:b/>
        </w:rPr>
        <w:t>E. 2</w:t>
      </w:r>
    </w:p>
    <w:p>
      <w:r>
        <w:t>L'Office fédéral de la justice soutient que le chiffre III du dispositif de l'arrêt cantonal violerait l'art. 30 al. 3 de la loi fédérale du 23 mars 2007 sur l'aide aux victimes d'infractions (LAVI; RS 312.5) en tant qu'il astreint les recourants dans la procédure cantonale au remboursement de l'indemnité du conseil d'office mise à la charge de l'État. Cette disposition serait une lex specialis qui primerait l' art. 123 CPC auquel renvoie l' art. 18 al. 5 LPA -VD.</w:t>
      </w:r>
    </w:p>
    <w:p>
      <w:r>
        <w:rPr>
          <w:b/>
        </w:rPr>
        <w:t>E. 2.1</w:t>
      </w:r>
    </w:p>
    <w:p>
      <w:r>
        <w:t>Aux termes de l' art. 30 LAVI , les autorités administratives et judiciaires ne perçoivent pas de frais de la victime et de ses proches pour les procédures leur permettant de faire valoir leurs droits en matière de conseils, d'aide immédiate, d'aide à plus long terme, d'indemnisation et de réparation morale (al. 1). Les frais peuvent être mis à la charge de la partie téméraire (al. 2). La victime et ses proches ne sont pas tenus de rembourser les frais de l'assistance gratuite d'un défenseur (al. 3).</w:t>
      </w:r>
    </w:p>
    <w:p>
      <w:r>
        <w:rPr>
          <w:b/>
        </w:rPr>
        <w:t>E. 2.2</w:t>
      </w:r>
    </w:p>
    <w:p>
      <w:r>
        <w:t>L' art. 30 al. 3 LAVI a été introduit dans le cadre de la révision totale de la loi sur l'aide aux victimes d'infractions de 2007. Cette modification visait à mettre sur un pied d'égalité les victimes dont les frais d'avocat étaient pris en charge par l'assistance judiciaire gratuite, selon l' art. 29 al. 3 Cst. ou le droit de procédure cantonal, et les victimes dont la prise en charge se fondait sur la LAVI. En effet, si ces dernières bénéficiaient de la gratuité garantie par la LAVI, tel n'était pas le cas des victimes au bénéfice de l'assistance judiciaire, qui étaient en principe tenues de rembourser l'aide reçue si leur situation financière s'améliorait. Elle tendait également à éviter que le remboursement des frais d'avocat n'entraîne une nouvelle victimisation (cf. Message du Conseil fédéral concernant la révision totale de la loi fédérale sur l'aide aux victimes d'infractions (LAVI) du 9 novembre 2005, FF 2005 p. 6752-6753 ch. 2.4; ATF 141 IV 262 consid. 2.4 et consid. 3.3.4). Peu importe désormais que la victime ait bénéficié d'une assistance juridique gratuite ou que les frais d'avocat aient été pris en charge par l'aide aux victimes au titre de l'aide à plus long terme : elle n'a pas à rembourser l'aide de l'État, ni dans le premier cas ni dans le second ( ATF 149 II 246 consid. 12.4).</w:t>
      </w:r>
    </w:p>
    <w:p>
      <w:r>
        <w:rPr>
          <w:b/>
        </w:rPr>
        <w:t>E. 2.3</w:t>
      </w:r>
    </w:p>
    <w:p>
      <w:r>
        <w:t>La Cour de céans a déjà constaté une violation de l' art. 30 al. 3 LAVI dans un cas où la Cour de droit administratif et public avait indiqué dans le dispositif de son arrêt que le recourant, victime d'une atteinte à son intégrité physique, était tenu au remboursement des frais judiciaires et de l'indemnité de son conseil d'office mis à la charge de l'État (cf. arrêt 1C_845/2013 du 2 septembre 2014 consid. 6.2). La cour cantonale ne fait pas valoir de circonstances particulières qui commanderaient de revenir sur la solution retenue dans cet arrêt et qui justifierait de retenir que l' art. 30 al. 3 LAVI ne s'appliquerait pas. Elle admet au contraire que le chiffre III du dispositif de son arrêt n'avait pas lieu d'être. L'obligation faite dans l'arrêt querellé à A.________, B.________, C.________ et D.________, en tant que proches de la victime au sens de l' art. 1 al. 2 LAVI , de rembourser l'indemnité de leur conseil d'office est contraire à l' art. 30 al. 3 LAVI .</w:t>
      </w:r>
    </w:p>
    <w:p>
      <w:r>
        <w:rPr>
          <w:b/>
        </w:rPr>
        <w:t>E. 3</w:t>
      </w:r>
    </w:p>
    <w:p>
      <w:r>
        <w:t>Le recours doit par conséquent être admis. Le chiffre III du dispositif de l'arrêt rendu le 11 décembre 2024 par la Cour de droit administratif et public du Tribunal cantonal est réformé en ce sens que les recourants ne sont pas tenus de rembourser les indemnités allouées à leur conseil d'office ( art. 107 al. 2 LTF ). Le canton de Vaud est dispensé des frais judiciaires ( art. 66 al. 4 LTF ). Il versera une indemnité de dépens au mandataire de A.________, de B.________, de C.________ et de D.________ ( art. 68 al. 1 LTF ). Leur demande d'assistance judiciaire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