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1C_43/2014 vom 7. Februar 2014</w:t>
      </w:r>
    </w:p>
    <w:p>
      <w:r>
        <w:t>Bundesgericht, 2014-02-07, DE</w:t>
      </w:r>
    </w:p>
    <w:p>
      <w:r>
        <w:rPr>
          <w:b/>
        </w:rPr>
        <w:t xml:space="preserve">Quelle: </w:t>
      </w:r>
      <w:r>
        <w:t>https://mcp.opencaselaw.ch/entscheid/bger_1C_43_2014</w:t>
      </w:r>
    </w:p>
    <w:p>
      <w:r>
        <w:t>FR: TF 1C_43/2014 du 7 février 2014</w:t>
      </w:r>
    </w:p>
    <w:p>
      <w:r>
        <w:t>IT: TF 1C_43/2014 del 7 febbraio 2014</w:t>
      </w:r>
    </w:p>
    <w:p>
      <w:pPr>
        <w:pStyle w:val="Heading2"/>
      </w:pPr>
      <w:r>
        <w:t>Erwägungen</w:t>
      </w:r>
    </w:p>
    <w:p>
      <w:r>
        <w:rPr>
          <w:b/>
        </w:rPr>
        <w:t>E. 1</w:t>
      </w:r>
    </w:p>
    <w:p>
      <w:r>
        <w:t>Der angefochtene Entscheid betrifft eine öffentlich-rechtliche Angelegenheit, die der Beschwerde in öffentlich-rechtlichen Angelegenheiten im Sinne von Art. 82 ff. BGG unterliegt. Ausschlussgründe nach Art. 83 ff. BGG sind nicht erfüllt. Die Beschwerdeführerin ist als betroffene Grundeigentümerin zur Beschwerde legitimiert ( Art. 89 Abs. 1 BGG ).</w:t>
      </w:r>
    </w:p>
    <w:p>
      <w:r>
        <w:rPr>
          <w:b/>
        </w:rPr>
        <w:t>E. 1.1</w:t>
      </w:r>
    </w:p>
    <w:p>
      <w:r>
        <w:t>Mit dem angefochtenen Entscheid wird die Angelegenheit an das Bau- und Justizdepartement zurückgewiesen, damit dieses allfällig erforderliche Nutzungsverbote oder -einschränkungen (insbesondere für Kinder bis 12 Jahre) für die betroffenen Grundeigentümer klar formuliere und in Verfügungsform eröffne. Die Beschwerdeführerin wehrt sich insbesondere gegen die Bezeichnung der betroffenen Gärten als chemisch belastete Böden im Sinne der VBBo. Die beanstandete rechtliche Einordnung der Bodenbelastung stellt noch keinen endgültigen Entscheid über die Rechte und Pflichten der Grundeigentümerin dar.</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 BGE 135 II 30 E. 1.3.2 S. 34).</w:t>
      </w:r>
    </w:p>
    <w:p>
      <w:r>
        <w:t>Von einem nicht wieder gutzumachenden Nachteil im Sinne von Art. 93 Abs. 1 lit. a BGG wird gesprochen, wenn dieser auch durch ein nachfolgendes günstiges Urteil nicht oder nicht mehr vollständig behoben werden kann ( BGE 135 I 261 E. 1.2 S. 263 mit Hinweisen). Kein nicht wieder gutzumachender Nachteil gemäss Art. 93 Abs. 1 lit. a BGG liegt nach der Praxis des Bundesgerichts vor, wenn es einer Partei bloss darum geht, eine Verlängerung oder Verteuerung des Verfahrens zu vermeiden ( BGE 135 II 30 E. 1.3.4 S. 36). Es obliegt den Beschwerdeführern im Einzelnen darzulegen, inwiefern ein nicht wieder gutzumachender Nachteil droht, ansonsten auf die Beschwerde nicht einzutreten ist ( BGE 137 III 324 E. 1.1 S. 329; 136 IV 92 E. 4 S. 95; je mit Hinweisen).</w:t>
      </w:r>
    </w:p>
    <w:p>
      <w:r>
        <w:t>Die Beschwerdeführerin äussert sich nicht im Einzelnen zur Frage des nicht wieder gutzumachenden Nachteils. Ein solcher ist auch nicht ersichtlich. Auf die Beschwerde ist somit nicht einzutreten. Soweit bestimmte Fragen wie die Anmerkung im Grundbuch bereits mit dem angefochtenen Entscheid endgültig beurteilt sein sollten, so kann dieser auch nach Vorliegen des Endentscheids noch angefochten werden, soweit er sich auf dessen Inhalt auswirkt ( Art. 93 Abs. 3 BGG ).</w:t>
      </w:r>
    </w:p>
    <w:p>
      <w:r>
        <w:rPr>
          <w:b/>
        </w:rPr>
        <w:t>E. 2</w:t>
      </w:r>
    </w:p>
    <w:p>
      <w:r>
        <w:t>Auf die Beschwerde ist somit nicht einzutreten. Bei diesem Ausgang sind die Gerichtskosten der Beschwerdeführerin, die als Grundeigentümerin nicht in ihrem amtlichen Wirkungskreis handelt, aufzuerlegen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