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1C_438/2023 vom 6. Oktober 2023</w:t>
      </w:r>
    </w:p>
    <w:p>
      <w:r>
        <w:t>Bundesgericht, 2023-10-06, FR</w:t>
      </w:r>
    </w:p>
    <w:p>
      <w:r>
        <w:rPr>
          <w:b/>
        </w:rPr>
        <w:t xml:space="preserve">Quelle: </w:t>
      </w:r>
      <w:r>
        <w:t>https://mcp.opencaselaw.ch/entscheid/bger_1C_438_2023</w:t>
      </w:r>
    </w:p>
    <w:p>
      <w:r>
        <w:t>FR: TF 1C_438/2023 du 6 octobre 2023</w:t>
      </w:r>
    </w:p>
    <w:p>
      <w:r>
        <w:t>IT: TF 1C_438/2023 del 6 ottobre 2023</w:t>
      </w:r>
    </w:p>
    <w:p>
      <w:pPr>
        <w:pStyle w:val="Heading2"/>
      </w:pPr>
      <w:r>
        <w:t>Erwägungen</w:t>
      </w:r>
    </w:p>
    <w:p>
      <w:r>
        <w:rPr>
          <w:b/>
        </w:rPr>
        <w:t>E. 1</w:t>
      </w:r>
    </w:p>
    <w:p>
      <w:r>
        <w:t>Selon l' art. 109 al. 1 LTF , la cour siège à trois juges et dans les quinze jours suivant la fin d'un éventuel échange d'écritures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si celui-ci a pour objet notamment une saisie ou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w:t>
      </w:r>
    </w:p>
    <w:p>
      <w:r>
        <w:rPr>
          <w:b/>
        </w:rPr>
        <w:t>E. 1.2</w:t>
      </w:r>
    </w:p>
    <w:p>
      <w:r>
        <w:t>Afin de démontrer l'existence d'un cas particulièrement important, le recourant relève - fait selon lui ignoré de la Cour des plaintes - que l'entraide administrative a déjà été accordée à la France pour les mêmes faits mais qu'elle ne permettrait pas le recouvrement de créances fiscales. L'octroi de l'entraide judiciaire pénale permettrait de contourner cette impossibilité si elle aboutissait à la confiscation des avoirs bloqués à hauteur des montants soustraits au fisc.</w:t>
      </w:r>
    </w:p>
    <w:p>
      <w:r>
        <w:rPr>
          <w:b/>
        </w:rPr>
        <w:t>E. 1.2.1</w:t>
      </w:r>
    </w:p>
    <w:p>
      <w:r>
        <w:t>La Cour des plaintes n'a pas méconnu l'existence d'une procédure d'entraide administrative ayant abouti à la transmission des mêmes renseignements (consid. 6.4 de l'arrêt attaqué). Elle a toutefois considéré, avec raison, que cela ne rendait pas l'entraide pénale sans objet, dans la mesure où les procédures sont de nature différente, tout comme les autorités, par ailleurs tenues au respect du principe de spécialité.</w:t>
      </w:r>
    </w:p>
    <w:p>
      <w:r>
        <w:rPr>
          <w:b/>
        </w:rPr>
        <w:t>E. 1.2.2</w:t>
      </w:r>
    </w:p>
    <w:p>
      <w:r>
        <w:t>Le recourant estime que l'entraide judiciaire pénale pourrait en l'occurrence servir à contourner l'impossibilité d'obtenir l'entraide administrative afin de recouvrer des dettes fiscales. Il perd toutefois de vue que l'autorité suisse est en l'état saisie d'une demande tendant simplement à la transmission de renseignements aux fins de poursuivre des agissements dont la nature pénale (escroquerie fiscale) ne fait pas de doute. La question de savoir si, et à quel titre, une remise des fonds pourrait avoir lieu en faveur de l'Etat requérant ne se pose dès lors pas encore. Elle n'a d'ailleurs pas été traitée par la Cour des plaintes, faute d'un grief correspondant soulevé par le recourant, et ne saurait dès lors justifier une entrée en matière, pas plus qu'un échange de vues avec la IIe Cour de droit public, compétente dans le domaine de l'entraide administrative.</w:t>
      </w:r>
    </w:p>
    <w:p>
      <w:r>
        <w:rPr>
          <w:b/>
        </w:rPr>
        <w:t>E. 1.2.3</w:t>
      </w:r>
    </w:p>
    <w:p>
      <w:r>
        <w:t>Les autres griefs soulevés par le recourant ( art. 67a EIMP , constatation des faits, nouvelle commission rogatoire, double incrimination) ne sont nullement présentés comme des motifs d'entrée en matière. Il ne se pose d'ailleurs à leur propos aucune question de principe, le recourant ne prétendant pas que la Cour des plaintes se serait écartée de la jurisprudence sur ces différents points.</w:t>
      </w:r>
    </w:p>
    <w:p>
      <w:r>
        <w:rPr>
          <w:b/>
        </w:rPr>
        <w:t>E. 1.3</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