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438/2022 vom 13. September 2022</w:t>
      </w:r>
    </w:p>
    <w:p>
      <w:r>
        <w:t>Bundesgericht, 2022-09-13, DE</w:t>
      </w:r>
    </w:p>
    <w:p>
      <w:r>
        <w:rPr>
          <w:b/>
        </w:rPr>
        <w:t xml:space="preserve">Quelle: </w:t>
      </w:r>
      <w:r>
        <w:t>https://mcp.opencaselaw.ch/entscheid/bger_1C_438_2022</w:t>
      </w:r>
    </w:p>
    <w:p>
      <w:r>
        <w:t>FR: TF 1C 438/2022 du 13 septembre 2022</w:t>
      </w:r>
    </w:p>
    <w:p>
      <w:r>
        <w:t>IT: TF 1C 438/2022 del 13 settembre 2022</w:t>
      </w:r>
    </w:p>
    <w:p>
      <w:pPr>
        <w:pStyle w:val="Heading2"/>
      </w:pPr>
      <w:r>
        <w:t>Regeste</w:t>
      </w:r>
    </w:p>
    <w:p>
      <w:r>
        <w:t>Baubewilligung (Nichteintreten) | Raumplanung und öffentliches Baurecht</w:t>
      </w:r>
    </w:p>
    <w:p>
      <w:pPr>
        <w:pStyle w:val="Heading2"/>
      </w:pPr>
      <w:r>
        <w:t>Erwägungen</w:t>
      </w:r>
    </w:p>
    <w:p>
      <w:r>
        <w:rPr>
          <w:b/>
        </w:rPr>
        <w:t>E. 1</w:t>
      </w:r>
    </w:p>
    <w:p>
      <w:r>
        <w:t>Am 9. Dezember 2021 erteilte die Stadt Dübendorf der B.________ AG die Baubewilligung für ein Mehrfamilienhaus an der Wallisellerstrasse 24. Am 1. Juni 2022 trat das Baurekursgericht des Kantons Zürich auf den von A.________ dagegen erhobenen Rekurs nicht ein mit der Begründung, er habe den ihm auferlegten Kostenvorschuss nicht geleistet und den Rekurs verspätet eingereicht. Am 19. Juli 2022 wies das Verwaltungsgericht des Kantons Zürich die von A.________ gegen diesen Entscheid des Baurekursgerichts erhobene Beschwerde ab. Mit Eingabe vom 14. August 2022 erhebt A.________ "Einsprache" gegen dieses Urteil des Verwaltungsgerichts. 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 Der Beschwerdeführer stellt keinen Antrag und führt zur Begründung einzig an, ein Betrugsverfahren gegen "den Besitzer" sei offen, und das Grundstück sei mehrfach verkauft worden, um den Betrug zu vertuschen. Mit diesen Ausführungen setzt er sich nicht ansatzweise sachgerecht mit dem angefochtenen Entscheid auseinander und legt nicht dar, inwiefern er bundesrechtswidrig sein soll. Das ist auch nicht ersichtlich. Auf die Beschwerde ist wegen Verletzung der gesetzlichen Begründungspflicht nicht einzutreten,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