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1C_438/2014 vom 19. März 2015</w:t>
      </w:r>
    </w:p>
    <w:p>
      <w:r>
        <w:t>Bundesgericht, 2015-03-19, DE</w:t>
      </w:r>
    </w:p>
    <w:p>
      <w:r>
        <w:rPr>
          <w:b/>
        </w:rPr>
        <w:t xml:space="preserve">Quelle: </w:t>
      </w:r>
      <w:r>
        <w:t>https://mcp.opencaselaw.ch/entscheid/bger_1C_438_2014</w:t>
      </w:r>
    </w:p>
    <w:p>
      <w:r>
        <w:t>FR: TF 1C_438/2014 du 19 mars 2015</w:t>
      </w:r>
    </w:p>
    <w:p>
      <w:r>
        <w:t>IT: TF 1C_438/2014 del 19 marzo 2015</w:t>
      </w:r>
    </w:p>
    <w:p>
      <w:pPr>
        <w:pStyle w:val="Heading2"/>
      </w:pPr>
      <w:r>
        <w:t>Erwägungen</w:t>
      </w:r>
    </w:p>
    <w:p>
      <w:r>
        <w:rPr>
          <w:b/>
        </w:rPr>
        <w:t>E. 1.1</w:t>
      </w:r>
    </w:p>
    <w:p>
      <w:r>
        <w:t>Gegen den angefochtenen Entscheid steht die Beschwerde in öffentlich-rechtlichen Angelegenheiten offen ( BGE 137 IV 269 E. 1.3.1 S. 272). Da der Beschwerdegegner nicht den obersten kantonalen Vollziehungs- und Gerichtsbehörden angehört, gelangt der Ausschlussgrund von Art. 83 lit. e BGG nicht zur Anwendung (vgl. BGE 137 IV 269 E. 1.3.2 S. 272 f.).</w:t>
      </w:r>
    </w:p>
    <w:p>
      <w:r>
        <w:rPr>
          <w:b/>
        </w:rPr>
        <w:t>E. 1.2</w:t>
      </w:r>
    </w:p>
    <w:p>
      <w:r>
        <w:t>Nach Art. 7 Abs. 2 lit. b StPO in Verbindung mit § 148 des Gesetzes des Kantons Zürich vom 10. Mai 2010 über die Gerichts- und Behördenorganisation im Zivil- und Strafprozess (GOG/ZH; LS 211.1) entscheidet das Obergericht über die Eröffnung oder Nichtanhandnahme einer Strafuntersuchung gegen Beamte im Sinn von Art. 110 Abs. 3 StGB wegen im Amt begangener Vergehen oder Verbrechen (zur Bundesrechtskonformität von § 148 GOG/ZH vgl. BGE 137 IV 269 E. 2 S. 275 ff.); dies unter Vorbehalt der (hier nicht gegebenen) Zuständigkeit des Kantonsrates (§ 38 Abs. 1 des Kantonsratsgesetzes vom 5. April 1981 [KRG; LS 171.1]). Das Ermächtigungserfordernis gilt auch für Gemeindebeamte ( BGE 137 IV 269 E. 2.7 S. 278 ff.; HAUSER/ SCHWERI/LIEBER, GOG, Kommentar zum zürcherischen Gesetz über die Gerichts- und Behördenorganisation im Zivil- und Strafprozess vom 10. Mai 2010, 2012, N. 3 zu § 148 GOG/ZH).</w:t>
      </w:r>
    </w:p>
    <w:p>
      <w:r>
        <w:rPr>
          <w:b/>
        </w:rPr>
        <w:t>E. 1.3</w:t>
      </w:r>
    </w:p>
    <w:p>
      <w:r>
        <w:t>Mit dem angefochtenen Entscheid hat es das Obergericht abgelehnt, die Staatsanwaltschaft zur Strafverfolgung der angezeigten Person wegen Ehrverletzung zu ermächtigen. Damit fehlt es an einer Prozessvoraussetzung für die Durchführung des Strafverfahrens, womit das Verfahren abgeschlossen ist. Angefochten ist ein Endentscheid ( Art. 90 BGG ) einer letzten kantonalen Instanz ( Art. 86 Abs. 1 lit. d BGG ), gegen den die Beschwerde in öffentlich-rechtlichen Angelegenheiten zulässig ist. Der Beschwerdeführer, der am kantonalen Verfahren beteiligt war und dessen Strafanzeige nicht mehr weiter behandelt werden kann, ist zu deren Erhebung berechtigt ( Art. 89 Abs. 1 BGG ).</w:t>
      </w:r>
    </w:p>
    <w:p>
      <w:r>
        <w:rPr>
          <w:b/>
        </w:rPr>
        <w:t>E. 1.4</w:t>
      </w:r>
    </w:p>
    <w:p>
      <w:r>
        <w:t>Die übrigen Sachurteilsvoraussetzungen geben zu keinen Bemerkungen Anlass. Auf die Beschwerde ist einzutreten.</w:t>
      </w:r>
    </w:p>
    <w:p>
      <w:r>
        <w:rPr>
          <w:b/>
        </w:rPr>
        <w:t>E. 2.1</w:t>
      </w:r>
    </w:p>
    <w:p>
      <w:r>
        <w:t>Im Ermächtigungsverfahren dürfen - ausser bei obersten Vollziehungs- und Gerichtsbehörden -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das Obergericht vorher seine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2.2</w:t>
      </w:r>
    </w:p>
    <w:p>
      <w:r>
        <w:t>Nach der Rechtsprechung des Bundesgerichts ist für die Erteilung der Ermächtigung ein Mindestmass an Hinweisen auf strafrechtlich relevantes Verhalten zu verlangen (Urteil 1C_524/2013 vom 2. Oktober 2013 E. 2). Dabei muss eine Kompetenzüberschreitung oder eine gemessen an den Amtspflichten missbräuchliche Vorgehensweise oder ein sonstiges Verhalten, das strafrechtliche Konsequenzen zu zeitigen vermag, in minimaler Weise glaubhaft erscheinen und genügende Anhaltspunkte für eine strafbare Handlung vorliegen (vgl. statt vieler Urteil 1C_633/2013 vom 23. April 2014 E. 2.3 mit Hinweis).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also für die Anklageerhebung die Wahrscheinlichkeiten einer Verurteilung und eines Freispruchs zumindest vergleichbar zu sein haben, genügt bereits eine geringere Wahrscheinlichkeit für strafbares Verhalten, um die Ermächtigungserteilung auszulösen (Urteil 1C_633/2013 vom 23. April 2014 E. 3.4).</w:t>
      </w:r>
    </w:p>
    <w:p>
      <w:r>
        <w:rPr>
          <w:b/>
        </w:rPr>
        <w:t>E. 3.1</w:t>
      </w:r>
    </w:p>
    <w:p>
      <w:r>
        <w:t>Der Beschwerdeführer bejaht genügende Anhaltspunkte für eine strafbare Handlung.</w:t>
      </w:r>
    </w:p>
    <w:p>
      <w:r>
        <w:rPr>
          <w:b/>
        </w:rPr>
        <w:t>E. 3.2</w:t>
      </w:r>
    </w:p>
    <w:p>
      <w:r>
        <w:t>Die Ehrverletzungstatbestände nach Art. 173 ff. StGB schützen den Ruf, ein ehrbarer Mensch zu sein, d.h. sich so zu benehmen, wie nach allgemeiner Anschauung ein charakterlich anständiger Mensch sich zu verhalten pflegt ( BGE 137 IV 313 E. 2.1.1 S. 315; 132 IV 112 E. 2.1 S. 115; je mit Hinweis; 117 IV 27 E. 2c S. 28 f. mit Hinweisen).</w:t>
      </w:r>
    </w:p>
    <w:p>
      <w:r>
        <w:rPr>
          <w:b/>
        </w:rPr>
        <w:t>E. 3.3</w:t>
      </w:r>
    </w:p>
    <w:p>
      <w:r>
        <w:t>Den Akten ist zu entnehmen, dass im Zentrum der Auseinandersetzung zwischen den Parteien eine Bodenaufbereitungsanlage steht, die in der Gemeinde U.________ gebaut werden soll. Der Beschwerdeführer hat sich im Rahmen der Bürgerbewegung "X.________", die aus ihm und einer weiteren Person besteht (sowie einem losen Kreis von Sympathisanten), zum Ziel gesetzt, dieses Bauvorhaben zu verhindern (vgl. polizeiliche "Befragung zur Sache" vom 9. Januar 2014). Diesbezüglich hat er im Jahr 2013 vier Initiativen eingereicht (§ 50 des Gemeindegesetzes des Kantons Zürich vom 6. Juni 1926 [GG; LS 131.1]), wovon jeweils zwei vom Gemeinderat für ungültig erklärt bzw. an der Gemeindeversammlung abgelehnt wurden. Ende Juni 2013 taten Unbekannte ihren Protest gegen das Bauvorhaben kund, indem sie unter anderem mit Kreide verschiedene Stellen des Bahnhofareals mit der Internetadresse der Bürgerbewegung beschrifteten. Der Beschwerdeführer distanzierte sich auf der Internetseite der Bürgerbewegung von dem Vorfall.</w:t>
      </w:r>
    </w:p>
    <w:p>
      <w:r>
        <w:rPr>
          <w:b/>
        </w:rPr>
        <w:t>E. 3.4</w:t>
      </w:r>
    </w:p>
    <w:p>
      <w:r>
        <w:t>Dem hier gerügten Vorwurf der Ehrverletzung liegt eine politische Auseinandersetzung zugrunde, bei der zulässigerweise auch (scharfe) Kritik geübt werden kann (vgl. Müller/Schefer, Grundrechte in der Schweiz, 4. Aufl., 2008, S. 391 f. mit Hinweisen zur Rechtsprechung des Europäischen Gerichtshofs für Menschenrechte, namentlich auf das Urteil</w:t>
      </w:r>
    </w:p>
    <w:p>
      <w:r>
        <w:t>Castells gegen Spanien vom 23. April 1992, Serie A Bd. 236 § 42) und bei der das Publikum üblicherweise auch nicht jedes Wort oder jede Aussage "auf die Goldwaage" legt (Franz Riklin, in: Niggli/Wiprächtiger [Hrsg.]., Basler Kommentar, Strafrecht II, 3. Aufl., 2013, N. 33 vor Art. 173). Nach der Rechtsprechung des Bundesgerichts darf eine strafrechtlich relevante Ehrverletzung in einer politischen Auseinandersetzung deshalb nur mit grosser Zurückhaltung angenommen werden. Im Zweifel ist davon auszugehen, dass kein Angriff auf die persönliche Ehre vorliegt ( BGE 137 IV 313 E. 2.1.4 S. 316; 128 IV 53 E. 1a S. 58; 116 IV 146 E. 3c S. 150 f.; Bernard Corboz, Les infractions en droit suisse, Vol. I, 2002, N. 10 zu Art. 173 StGB ; vgl. auch die Kasuistik bei Trechsel/Lieber, Schweizerisches Strafgesetzbuch, Praxiskommentar, 2. Aufl., 2013, N. 6 vor Art. 173 StGB ).</w:t>
      </w:r>
    </w:p>
    <w:p>
      <w:r>
        <w:rPr>
          <w:b/>
        </w:rPr>
        <w:t>E. 3.5</w:t>
      </w:r>
    </w:p>
    <w:p>
      <w:r>
        <w:t>Die Vorinstanz hat die beanstandeten Textstellen zu Recht unter dem Aspekt geprüft, dass es sich um eine Meinungsäusserung unter politischen Widersachern handelt. Dabei kam sie zum Schluss, dass kein relevanter Anfangsverdacht besteht. Dieser Auffassung kann gefolgt werden. Gemäss Duden kann als "militant" bezeichnet werden, wer "mit bewusst kämpferischem Anstrich für eine Überzeugung" eintritt. Es existiert eine Vielzahl von Synonymen dieses Worts, weshalb der Sinn im Kontext zu ermitteln ist. In der fraglichen Textpassage äussert der Beschwerdegegner ausdrücklich seine persönliche Meinung. Er wirft der Bürgerbewegung vor, sie "politisiere" an der Sache vorbei, beschäftige die Behörden übermässig und koste den Steuerzahler sehr viel Geld. Für einen unbefangenen Leser ist offensichtlich, dass die Verwendung des Wortes "militant" hier nicht in Zusammenhang mit Terror, Gewalttätigkeit oder Gewaltbereitschaft steht, sondern eher für einen unbequemen und hartnäckigen (politischen) Gegner. Weshalb der Durchschnittsleser bei der Lektüre des Ausdrucks "militante Gruppe" an die Baader-Meinhof-Gruppe oder an die Rote Armee Fraktion denken soll (vgl. polizeiliche "Befragung zur Sache" vom 9. Januar 2014), ist nicht ersichtlich, zumal das Wirken dieser Gruppierungen bereits Jahrzehnte zurückliegt.</w:t>
      </w:r>
    </w:p>
    <w:p>
      <w:r>
        <w:t>Auch die Verwendung des Begriffs "X.________-Kinder" führt bei einem unbefangenen Leser nicht zur Annahme, der Beschwerdeführer habe Kinder für "Schmierereien" engagiert. Auch hier kann der Vorinstanz gefolgt werden, wonach der Autor nicht Kinder im eigentlichen Sinn gemeint habe (andernfalls hätte er keine Anführungszeichen setzen müssen), sondern die Sympathisanten der Bürgerbewegung, welche sich mit den Ideen und Postulaten der Bewegung identifizieren und zu deren Verbreitung auf ihre Art beitragen würden. Den Vorwurf der Sachbeschädigung ( Art. 144 StGB ), der an und für sich geeignet wäre, die Ehre zu verletzen ( BGE 132 IV 112 E. 2 S. 115; vgl. auch Urteil 1B_306/2014 vom 12. Januar 2015 E. 2.3), hat die Vorinstanz nicht geprüft. Dazu bestand auch kein Anlass, zumal aus der beanstandeten Textpassage deutlich hervorgeht, dass sich der Vorwurf gegen die "X.________-Kinder" (und nicht gegen den Beschwerdeführer) richtet. Im Ergebnis liegen somit keine Anhaltspunkte dafür vor, dass der fragliche Text den Ruf des Beschwerdeführers als ehrbaren Menschen beeinträchtigen könnte.</w:t>
      </w:r>
    </w:p>
    <w:p>
      <w:r>
        <w:rPr>
          <w:b/>
        </w:rPr>
        <w:t>E. 3.6</w:t>
      </w:r>
    </w:p>
    <w:p>
      <w:r>
        <w:t>Die weiteren Vorbringen des Beschwerdeführers sind nicht geeignet, den angefochtenen Entscheid in Frage zu stellen. Die Rüge, die Vorinstanz habe zu umfassend und in der Sache selber geprüft, ist unbegründet. Der Beschwerdeführer scheint davon auszugehen, es genüge für eine Ermächtigung zur Eröffnung einer Strafuntersuchung bereits jede geringste ("minimale") Wahrscheinlichkeit für ein strafbares Verhalten, wenn er ausführt, alleine die Verwendung des Wortes "militant" begründe bereits einen genügenden Anhaltspunkt. Dies ist zu verneinen. Aus dem Gesagten folgt, dass die Vorinstanz im Rahmen ihrer summarischen Prüfung weder ihr Ermessen überschritten noch den Grundsatz der Gewaltenteilung sowie, sofern überhaupt substantiiert gerügt ( Art. 106 Abs. 2 BGG ), das Verbot der Rechtsverweigerung verletzt hat. Soweit eine Verletzung des Willkürverbotes geltend gemacht wird, ist die Verneinung eines Anfangsverdachts unter allen diesbezüglich relevanten Gesichtspunkten (vgl. BGE 137 I 1 E. 2.4 S. 5; 134 II 124 E. 4.1 S. 133) willkürfrei.</w:t>
      </w:r>
    </w:p>
    <w:p>
      <w:r>
        <w:rPr>
          <w:b/>
        </w:rPr>
        <w:t>E. 3.7</w:t>
      </w:r>
    </w:p>
    <w:p>
      <w:r>
        <w:t>Zusammengefasst liegen keine genügende Anhaltspunkte für eine strafbare Handlung vor. Insbesondere kann der Vorinstanz nicht vorgeworfen werden, sie habe die Schwelle für die Annahme von genügenden Anhaltspunkten für das Vorliegen einer Ehrverletzung zu hoch angesetzt und gewissermassen die Arbeit der Staatsanwaltschaft bzw. des Sachgerichts vorweggenommen. Angesichts der bloss summarischen Prüfung des Falls kann davon nicht gesprochen werden.</w:t>
      </w:r>
    </w:p>
    <w:p>
      <w:r>
        <w:rPr>
          <w:b/>
        </w:rPr>
        <w:t>E. 4</w:t>
      </w:r>
    </w:p>
    <w:p>
      <w:r>
        <w:t>Im Ergebnis hält die Verweigerung der Ermächtigung zur Strafverfolgung vor Bundesrecht stand. Die Beschwerde ist abzuweisen.</w:t>
      </w:r>
    </w:p>
    <w:p>
      <w:r>
        <w:rPr>
          <w:b/>
        </w:rPr>
        <w:t>E. 5</w:t>
      </w:r>
    </w:p>
    <w:p>
      <w:r>
        <w:t>Der unterliegende Beschwerdeführer hat die Kosten des Verfahrens zu tragen ( Art. 66 Abs. 1 BGG ) und dem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