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436/2020 vom 29. März 2021</w:t>
      </w:r>
    </w:p>
    <w:p>
      <w:r>
        <w:t>Bundesgericht, 2021-03-29, DE</w:t>
      </w:r>
    </w:p>
    <w:p>
      <w:r>
        <w:rPr>
          <w:b/>
        </w:rPr>
        <w:t xml:space="preserve">Quelle: </w:t>
      </w:r>
      <w:r>
        <w:t>https://mcp.opencaselaw.ch/entscheid/bger_1C_436_2020</w:t>
      </w:r>
    </w:p>
    <w:p>
      <w:r>
        <w:t>FR: TF 1C 436/2020 du 29 mars 2021</w:t>
      </w:r>
    </w:p>
    <w:p>
      <w:r>
        <w:t>IT: TF 1C 436/2020 del 29 marzo 2021</w:t>
      </w:r>
    </w:p>
    <w:p>
      <w:pPr>
        <w:pStyle w:val="Heading2"/>
      </w:pPr>
      <w:r>
        <w:t>Regeste</w:t>
      </w:r>
    </w:p>
    <w:p>
      <w:r>
        <w:t>Abbruchbewilligung und Baubewilligung | Raumplanung und öffentliches Baurecht</w:t>
      </w:r>
    </w:p>
    <w:p>
      <w:pPr>
        <w:pStyle w:val="Heading2"/>
      </w:pPr>
      <w:r>
        <w:t>Erwägungen</w:t>
      </w:r>
    </w:p>
    <w:p>
      <w:r>
        <w:rPr>
          <w:b/>
        </w:rPr>
        <w:t>E. 1.1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w:t>
      </w:r>
    </w:p>
    <w:p>
      <w:r>
        <w:rPr>
          <w:b/>
        </w:rPr>
        <w:t>E. 1.2</w:t>
      </w:r>
    </w:p>
    <w:p>
      <w:r>
        <w:t>Die strittige Abbruch- und Baubewilligung betrifft ein unter Denkmalschutz stehendes Gebäude. Das dem Beschwerdeführer zustehende Verbandsbeschwerderecht gemäss § 338b des Zürcher Planungs- und Baugesetzes vom 7. September 1975 (PBG) gilt nicht vor Bundesgericht (Urteil 1C_617/2017 vom 25. Mai 2018 E. 1.2). Der Beschwerdeführer kann sich als nicht gesamtschweizerisch tätige Heimatschutzorganisation auch nicht auf das Verbandsbeschwerderecht nach Art. 89 Abs. 2 lit. d BGG i.V.m. Art. 12 Abs. 1 lit. b des Bundesgesetzes vom 1. Juli 1966 über den Natur- und Heimatschutz (NHG; SR 451) berufen. Seine Beschwerdebefugnis nach Art. 89 Abs. 1 BGG ist ebenfalls nicht gegeben, da er nicht geltend macht, er oder die Mehrzahl seiner Mitglieder hätten eine enge räumliche Beziehung zum vom Abbruch betroffenen Bau und seien somit vom angefochtenen Urteil besonders berührt (Urteil 1C_617/2017 vom 25. Mai 2018 E. 1.2). Nach der Rechtsprechung des Bundesgerichts kann der Beschwerdeführer, dem auf kantonaler Ebene ein Verbandsbeschwerderecht zusteht, vor Bundesgericht jedoch geltend machen, im kantonalen Verfahren in seinen Parteirechten verletzt worden zu sein (Urteil 1C_617/2017 vom 25. Mai 2018 E. 1.2 mit Hinweisen). Er kann damit namentlich die Verletzung des Verbots der formellen Rechtsverweigerung ( Art. 29 Abs. 1 BV ) und der Rechtsweggarantie ( Art. 29a BV ) rügen, soweit diese Rügen unabhängig vom Entscheid in der Sache beurteilt werden können (Urteil 1C_14/2020 vom 4. Mai 2020 E. 1.3). Eine formelle Rechtsverweigerung liegt vor, wenn ein Gericht auf ein ihm frist- und formgerecht unterbreitetes Rechtsmittel nicht eintritt bzw. dieses nicht behandelt, obschon es darüber befinden müsste ( BGE 135 I 6 E. 2.1 S. 9 ; 134 I 229 E. 2.3 S. 232). Demnach kann der Beschwerdeführer rügen, auf sein kantonales Rechtsmittel sei zu Unrecht nicht eingetreten worden. Unzulässig sind dagegen Rügen, die im Ergebnis auf eine materielle Überprüfung des Entscheids abzielen, wie etwa der Vorwurf, die Begründung setze sich nicht mit sämtlichen vorgetragenen Argumenten auseinander. Ebenso wenig kann beanstandet werden, der Sachverhalt sei unvollständig abgeklärt oder sonstwie willkürlich ermittelt bzw. Beweisanträgen sei wegen willkürlicher antizipierter Beweiswürdigung keine Folge gegeben worden ( BGE 135 II 430 E. 3.2 S. 436 f. mit Hinweisen; vgl. auch BGE 141 IV 1 E. 1.1 S. 5; Urteile 1C_353/2020 vom 4. Januar 2021 E. 3.3; 6B_154/2020 vom 16. November 2020 E. 3.2.1; 1C_14/2020 vom 4. Mai 2020 E. 1.2; je mit Hinweisen).</w:t>
      </w:r>
    </w:p>
    <w:p>
      <w:r>
        <w:rPr>
          <w:b/>
        </w:rPr>
        <w:t>E. 1.3</w:t>
      </w:r>
    </w:p>
    <w:p>
      <w:r>
        <w:t>Nicht einzutreten ist daher auf die Rügen des Beschwerdeführers, die Vorinstanz habe bezüglich der vorfrageweise erfolgten Auslegung des Beschlusses des Gemeinderats Knonau vom 16. Mai 2011 in willkürlicher Weise das Vertrauensprinzip und die Grundsätze der Auslegung von Verfügungen, das rechtliche Gehör und die daraus abgeleitete Begründungspflicht verletzt und in willkürlicher antizipierter Beweiswürdigung auf die Einvernahme eines Zeugen verzichtet.</w:t>
      </w:r>
    </w:p>
    <w:p>
      <w:r>
        <w:rPr>
          <w:b/>
        </w:rPr>
        <w:t>E. 1.4</w:t>
      </w:r>
    </w:p>
    <w:p>
      <w:r>
        <w:t>Zulässig ist indessen die Rüge, die Vorinstanz habe das Verbot der formellen Rechtsverweigerung gemäss Art. 29 BV verletzt. Zur Begründung bringt der Beschwerdeführer sinngemäss vor, er habe den Beschluss des Gemeinderats Knonau vom 16. Mai 2011 nur deshalb nicht angefochten, weil seine damaligen Organe diesen (bzw. sein Dispositiv) dahingehend verstanden hätten und auch hätten verstehen dürfen, dass der Gasthof Adler im kommunalen Schutzinventar verbleibe und ohne vorherige Inventarentlassung nicht abgebrochen werden dürfe. Indem die Vorinstanz diesen Beschluss im Widerspruch zum Verfügungstext anders ausgelegt und sie ihn als rechtsbeständig angesehen habe, habe sie im Ergebnis die Legitimation des Beschwerdeführers zum Rekurs gegen die Abbruchbewilligung vom 9. April 2019 zu Unrecht verneint.</w:t>
      </w:r>
    </w:p>
    <w:p>
      <w:r>
        <w:rPr>
          <w:b/>
        </w:rPr>
        <w:t>E. 1.5</w:t>
      </w:r>
    </w:p>
    <w:p>
      <w:r>
        <w:t>Da die Vorinstanz die Beschwerdelegitimation des Beschwerdeführers bejahte, seine kantonale Beschwerde materiell prüfte und sich dabei vorfrageweise mit der Tragweite des Beschlusses des Gemeinderats Knonau vom 16. Mai 2011 befasste, erweist sich die Rüge der formellen Rechtsverweigerung als unbegründet. Unbegründet ist auch der Einwand, dieser Gemeinderatsbeschluss könne mit dem von der Vorinstanz ermittelten Sinngehalt nicht rechtsbeständig sein, weil dieser im Widerspruch zu seinem Text stehe. So hält dieser Beschluss in Ziff. 2 seines Dispositivs für den als schutzwürdig qualifizierten Hauptbau des Gashofs Adler ausdrücklich fest, der denkmalpflegerische Schutz sei durch die bestehenden Kernzonenvorschriften über die Ersatzbaupflicht genügend gewährleistet. Diese Formulierung lässt erkennen, dass ein Ersatzbau und damit der Abbruch der ursprünglichen Bausubstanz zugelassen wird, weshalb die von der Vorinstanz vorgenommene Auslegung des Beschlusses nicht als willkürlich bezeichnet werden kann. Damit liegt insoweit auch kein Grund vor, der zur Nichtigkeit bzw. der absoluten Rechtsunwirksamkeit des Beschlusses des Gemeinderats Knonau vom 16. Mai 2011 mit dem von der Vorinstanz angenommenen Sinngehalt führen könnte (vgl. BGE 137 I 273 E. 3.1 S. 275 mit Hinweisen).</w:t>
      </w:r>
    </w:p>
    <w:p>
      <w:r>
        <w:rPr>
          <w:b/>
        </w:rPr>
        <w:t>E. 2</w:t>
      </w:r>
    </w:p>
    <w:p>
      <w:r>
        <w:t>Nach dem Gesagten ist die Beschwerde abzuweisen, soweit darauf einzutreten ist. Bei diesem Verfahrensausgang sind die Gerichtskosten dem unterliegenden Beschwerdeführer aufzuerlegen ( Art. 66 Abs. 1 BGG ). Dieser hat den anwaltlich vertretenen privaten Beschwerdegegnerinnen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