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436/2018 vom 9. Januar 2019</w:t>
      </w:r>
    </w:p>
    <w:p>
      <w:r>
        <w:t>Bundesgericht, 2019-01-09, FR</w:t>
      </w:r>
    </w:p>
    <w:p>
      <w:r>
        <w:rPr>
          <w:b/>
        </w:rPr>
        <w:t xml:space="preserve">Quelle: </w:t>
      </w:r>
      <w:r>
        <w:t>https://mcp.opencaselaw.ch/entscheid/bger_1C_436_2018</w:t>
      </w:r>
    </w:p>
    <w:p>
      <w:r>
        <w:t>FR: TF 1C 436/2018 du 9 janvier 2019</w:t>
      </w:r>
    </w:p>
    <w:p>
      <w:r>
        <w:t>IT: TF 1C 436/2018 del 9 gennaio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Dans un grief d'ordre formel qu'il convient d'examiner en premier lieu, le recourant se plaint sommairement d'une violation de son droit d'être entendu. Il reproche à l'instance précédente d'avoir refusé l'audition de divers témoins (son ex-épouse, la mère de son ex-épouse et son épouse actuelle). 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 tel refus d'instruire ne viole le droit d'être entendu des parties que si l'appréciation anticipée de la portée du moyen de preuve proposé est entachée d'arbitraire ( ATF 140 I 285 consid. 6.3.1 p. 299 et les références citées). En l'occurrence, l'instance précédente a estimé, s'agissant du témoignage de l'ex-épouse, que celle-ci avait été entendue le 27 mars 2017, que le recourant avait pu déposer sa prise de position quant au témoignage et qu'un courrier de l'ex-épouse rectifiant les dates faussement indiquées par elle lors de son audition avait été versé au dossier; quant à l'audition des autres témoins, le Tribunal administratif fédéral a jugé que les faits de la cause étaient suffisamment établis par les pièces figurant au dossier. L'instance précédente, ayant procédé à l'examen anticipé des moyens de preuve demandés par le recourant, ce dernier devait démontrer, conformément aux exigences accrues de motivation de l' art. 106 al. 2 LTF , en quoi cette appréciation serait arbitraire. Or, le recourant se contente d'affirmer que l'audition de ces témoins aurait permis d'établir que la situation vécue par les ex-époux n'était pas le fruit d'un long processus de dégradation des rapports conjugaux ayant débuté bien avant la signature de la déclaration commune. Cette argumentation ne répond pas aux exigences accrues de motivation précitées, de sorte que sa critique est irrecevable.</w:t>
      </w:r>
    </w:p>
    <w:p>
      <w:r>
        <w:rPr>
          <w:b/>
        </w:rPr>
        <w:t>E. 4</w:t>
      </w:r>
    </w:p>
    <w:p>
      <w:r>
        <w:t>Sur le fond, le recourant conteste avoir obtenu la naturalisation par des déclarations mensongères et soutient qu'il serait parvenu à renverser la présomption résultant de l'enchaînement des faits, et ainsi à faire admettre qu'il existe une possibilité raisonnable qu'il ait voulu former une communauté stable avec son épouse. Il est douteux que l'argumentation du recourant satisfasse aux exigences de motivation découlant de l' art. 42 al. 2 LTF . La question peut cependant demeurer indécise, le recours devant de toute manière être rejeté sur le fond.</w:t>
      </w:r>
    </w:p>
    <w:p>
      <w:r>
        <w:rPr>
          <w:b/>
        </w:rPr>
        <w:t>E. 4.1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 court laps de temps séparant la déclaration commune (8 octobre 2014), l'octroi de la naturalisation facilitée (12 novembre 2014), la séparation des époux (23 avril 2015), le dépôt d'une demande commune de divorce (le 2 octobre 2015), le jugement de divorce (3 février 2016) et le remariage avec la mère de sa fille (6 juin 2016) était de nature à fonder la présomption que cette naturalisation avait été acquise au moyen de déclarations mensongères. Quoi qu'en dise le recourant, ces éléments sont propres à fonder la présomption que sa naturalisation a été obtenue frauduleusement, la séparation des époux étant intervenue cinq mois seulement après l'octroi de la naturalisation facilitée (cf. notamment arrêts du Tribunal fédéral 1C_362/2017 du 12 octobre 2017 consid. 2.3; 1C_503/2015 du 21 janvier 2016 consid. 3.2 et les arrêts cités). Pour l'instance précédente, cette présomption est renforcée par le fait que le recourant avait eu une relation extra-conjugale en 2011 - dont était issue sa fille - et que le couple rencontrait des difficultés importantes peu après l'AVC de l'ex-épouse survenu en octobre 2012.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Pour expliquer une soudaine dégradation du lien conjugal cinq mois après l'octroi de la naturalisation, le recourant se borne à affirmer, de manière appellatoire de surcroît, que la découverte de son statut de père trois ans après la naissance de sa fille au début de l'année 2015, représenterait un événement extraordinaire susceptible de renverser la présomption. S'y ajouterait, de manière conjointe, l'usure liée à la terrible maladie de son ex-épouse. Nonobstant le fait que ces éléments ne permettent pas d'établir qu'en octobre 2014, au moment de la signature de la déclaration commune, l'harmonie existait toujours au sein du couple au point d'envisager la continuation de leur vie maritale pour une période durable, le recourant ne répond pas à l'argumentation du Tribunal administratif fédéral qui a retenu qu'il n'était pas plausible que l'intéressé ait accepté de quitter sa femme le jour même où il a appris la naissance de sa fille, dès lors qu'il a prétendu ne plus avoir eu aucun contact avec la mère de celle-ci depuis leur aventure d'un soir au mois de mai 2011. Quant aux conséquences de la maladie de l'ex-épouse, l'instance précédente a démontré de manière pertinente que les besoins d'attention de l'ex-épouse malade dataient d'octobre 2012; rien au dossier ne mettait en évidence une détérioration importante de l'état de santé de celle-ci qui serait intervenu entre la déclaration commune en octobre 2014 et la séparation des conjoints en avril 2015. Les brèves explications du recourant ne sont pas convaincantes et ne permettent pas de renverser la présomption établie.</w:t>
      </w:r>
    </w:p>
    <w:p>
      <w:r>
        <w:rPr>
          <w:b/>
        </w:rPr>
        <w:t>E. 4.5</w:t>
      </w:r>
    </w:p>
    <w:p>
      <w:r>
        <w:t>Par conséquent, les conditions d'application de l'art. 41 aLN sont réunies et le Tribunal administratif fédéral n'a pas violé le droit fédéral en confirmant l'annulation de la naturalisation facilitée qui avait été octroyée au recourant ainsi que celle de la nationalité accordée à ses enfants (art. 41 al. 3 aLN). En ce qui concerne les enfants, le recourant ne formule d'ailleurs aucun argument tendant à remettre en cause l'appréciation effectuée par l'autorité précédente.</w:t>
      </w:r>
    </w:p>
    <w:p>
      <w:r>
        <w:rPr>
          <w:b/>
        </w:rPr>
        <w:t>E. 5</w:t>
      </w:r>
    </w:p>
    <w:p>
      <w:r>
        <w:t>Il s'ensuit que le recours est rejeté dans la mesure de sa recevabilité.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