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436/2010 vom 14. April 2011</w:t>
      </w:r>
    </w:p>
    <w:p>
      <w:r>
        <w:t>Bundesgericht, 2011-04-14, FR</w:t>
      </w:r>
    </w:p>
    <w:p>
      <w:r>
        <w:rPr>
          <w:b/>
        </w:rPr>
        <w:t xml:space="preserve">Quelle: </w:t>
      </w:r>
      <w:r>
        <w:t>https://mcp.opencaselaw.ch/entscheid/bger_1C_436_2010</w:t>
      </w:r>
    </w:p>
    <w:p>
      <w:r>
        <w:t>FR: TF 1C 436/2010 du 14 avril 2011</w:t>
      </w:r>
    </w:p>
    <w:p>
      <w:r>
        <w:t>IT: TF 1C 436/2010 del 14 aprile 2011</w:t>
      </w:r>
    </w:p>
    <w:p>
      <w:pPr>
        <w:pStyle w:val="Heading2"/>
      </w:pPr>
      <w:r>
        <w:t>Regeste</w:t>
      </w:r>
    </w:p>
    <w:p>
      <w:r>
        <w:t>refus d'établir un plan de quartier | Aménagement du territoire et droit public des constructions</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de la loi sur le Tribunal fédéral (LTF; RS 173.110) auxquels renvoie l'art. 34 al. 1 de la loi sur l'aménagement du territoire du 22 juin 1979 ([LAT; RS 700]; ATF 133 II 353 consid. 2 p. 356, 249 consid. 1.2 p. 251), aucune des exceptions prévues à l' art. 83 LTF n'étant réalisée. L'arrêt attaqué confirme le refus du plan de quartier requis par les recourants, pour un secteur comprenant leurs parcelles. On peut admettre qu'ils sont particulièrement atteints par l'acte litigieux et qu'ils ont la qualité pour recourir au sens de l' art. 89 al. 1 LTF . Pour le surplus, interjeté en temps utile contre une décision finale prise en dernière instance cantonale, le recours est recevable au regard des art. 86 al. 1 let . d, 90 et 100 al. 1 LTF.</w:t>
      </w:r>
    </w:p>
    <w:p>
      <w:r>
        <w:rPr>
          <w:b/>
        </w:rPr>
        <w:t>E. 2</w:t>
      </w:r>
    </w:p>
    <w:p>
      <w:r>
        <w:t>Après le premier échange d'écritures, les recourants et l'intimée se sont encore exprimés chacun à trois reprises, en demandant notamment que certaines écritures tardives de la partie adverse soient déclarées irrecevables. Toutes ces observations étant dénuées de pertinence, il n'en sera pas tenu compte. Dans ces conditions, les requêtes précitées sont sans objet.</w:t>
      </w:r>
    </w:p>
    <w:p>
      <w:r>
        <w:rPr>
          <w:b/>
        </w:rPr>
        <w:t>E. 3</w:t>
      </w:r>
    </w:p>
    <w:p>
      <w:r>
        <w:t>L'écriture de recours comporte de nombreux éléments de fait qui ne ressortent pas de l'arrêt attaqué et les recourants se plaignent d'un établissement des faits "sommaire, voire lacunaire".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Il appartient au recourant de démontrer cette violation, par une argumentation répondant aux exigences de motivation de l' art. 42 al. 2 LTF . Les recourants ne le font pas en l'espèce; ils se limitent en effet à compléter un état de fait qu'ils jugent incomplet, en présentant leur propre lecture du dossier, mais ils ne démontrent pas en quoi l'arrêt attaqué serait entaché d'arbitraire à cet égard. Au demeurant, les prétendues lacunes de l'état de fait n'apparaissent pas évidentes et on ne voit pas d'emblée en quoi les faits allégués par les recourants seraient de nature à remettre en cause la solution du Tribunal cantonal. Dans ces conditions, il n'y a pas lieu de s'écarter des faits retenus dans la décision attaquée.</w:t>
      </w:r>
    </w:p>
    <w:p>
      <w:r>
        <w:rPr>
          <w:b/>
        </w:rPr>
        <w:t>E. 4</w:t>
      </w:r>
    </w:p>
    <w:p>
      <w:r>
        <w:t>Dans un grief d'ordre formel qu'il convient d'examiner en premier lieu, les recourants se plaignent d'une violation de leur droit d'être entendus. Ils soutiennent que le Tribunal cantonal a confirmé la décision de la commune par substitution de motifs et qu'ils n'ont pas eu l'occasion de se déterminer sur la motivation retenue.</w:t>
      </w:r>
    </w:p>
    <w:p>
      <w:r>
        <w:rPr>
          <w:b/>
        </w:rPr>
        <w:t>E. 4.1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 p. 504 s.; 127 V 431 consid. 2b; 126 I 19 consid. 2c/aa p. 22; 124 I 49 consid. 3c p. 52; 115 Ia 94 consid. 1b p. 96 s. et les références).</w:t>
      </w:r>
    </w:p>
    <w:p>
      <w:r>
        <w:rPr>
          <w:b/>
        </w:rPr>
        <w:t>E. 4.2</w:t>
      </w:r>
    </w:p>
    <w:p>
      <w:r>
        <w:t>En l'occurrence, les recourants affirment seulement qu'ils n'ont pas eu l'occasion de se déterminer sur le motif retenu par le Tribunal cantonal pour confirmer la décision de la commune. Ils n'exposent pas en quoi les conditions leur donnant le droit d'être entendus sur des questions de droit seraient réunies. En particulier, ils ne prétendent pas que les normes légales sur lesquelles se fonde l'arrêt attaqué ne pouvaient pas être raisonnablement prévues. Au demeurant, l'arrêt en question ne fait que répondre aux griefs soulevés contre la décision communale et appliquer la règle de l' art. 21 al. 2 LAT sur la stabilité des plans, de sorte que les recourants, assistés d'un avocat, ne sauraient se déclarer surpris par les dispositions appliquées, même si les motifs retenus dans l'arrêt querellé diffèrent de la motivation succincte de la décision communale. En définitive, dans la mesure où le Tribunal cantonal ne s'est pas fondé sur des normes légales dont la prise en compte ne pouvait pas être raisonnablement prévue par les parties, il n'était pas tenu d'interpeller ces dernières sur les questions de droit. Il n'y a donc pas eu de violation du droit d'être entendu, de sorte que ce grief doit être rejeté.</w:t>
      </w:r>
    </w:p>
    <w:p>
      <w:r>
        <w:rPr>
          <w:b/>
        </w:rPr>
        <w:t>E. 5</w:t>
      </w:r>
    </w:p>
    <w:p>
      <w:r>
        <w:t>Par ailleurs, dans une argumentation parfois difficilement compréhensible, les recourants font part de considérations sur l'art. 77 de la loi cantonale sur l'aménagement du territoire et les constructions (LATC; RSV 700.11), dont ils invoquent implicitement la violation. Cela étant, la violation du droit cantonal ne constitue pas un motif de recours, sauf dans les cas prévus par l' art. 95 let . c à e LTF, qui n'entrent pas en considération en l'espèce. Elle ne peut dès lors être invoquée que si elle constitue également une atteinte au droit fédéral au sens de l' art. 95 let. a LTF ou au droit international au sens de l' art. 95 let. b LTF . L'atteinte au droit fédéral peut notamment résulter du fait que le droit cantonal a été appliqué de façon arbitraire, ce que le recourant doit démontrer conformément aux exigences déduites des art. 42 al. 2 et 106 al. 2 LTF ( ATF 133 II 249 consid. 1.2.1 et 1.4.2 p. 251 ss et les références). Une telle démonstration faisant défaut en l'occurrence, ce grief est irrecevable.</w:t>
      </w:r>
    </w:p>
    <w:p>
      <w:r>
        <w:rPr>
          <w:b/>
        </w:rPr>
        <w:t>E. 6</w:t>
      </w:r>
    </w:p>
    <w:p>
      <w:r>
        <w:t>On comprend en outre que les recourants se plaignent d'une violation de l' art. 21 al. 2 LAT , relatif à l'adaptation des plans.</w:t>
      </w:r>
    </w:p>
    <w:p>
      <w:r>
        <w:rPr>
          <w:b/>
        </w:rPr>
        <w:t>E. 6.1</w:t>
      </w:r>
    </w:p>
    <w:p>
      <w:r>
        <w:t>Aux termes de cette disposition, les plans d'affectation font l'objet des adaptations nécessaires lorsque les circonstances se sont sensiblement modifiées. En énonçant un principe pour l'adaptation des plans d'affectation en vigueur,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128 I 190 consid. 4.2 p. 198 s. et les références citées).</w:t>
      </w:r>
    </w:p>
    <w:p>
      <w:r>
        <w:rPr>
          <w:b/>
        </w:rPr>
        <w:t>E. 6.2</w:t>
      </w:r>
    </w:p>
    <w:p>
      <w:r>
        <w:t>En l'occurrence, le Tribunal cantonal a constaté que les circonstances s'étaient sensiblement modifiées depuis l'adoption du RPE en 1980, ce qui justifiait l'adaptation de cette règlementation en vertu de l' art. 21 al. 2 LAT . Il a également estimé que les recourants poursuivaient un but conforme aux exigences de l'aménagement du territoire et au plan directeur cantonal, à savoir la lutte contre la problématique dite des "lits froids" ou des "volets clos". Il a toutefois considéré que l'établissement d'un plan de quartier limité au secteur "La Frasse-Dessous" ne constituait pas l'instrument adéquat et nécessaire pour atteindre le but visé. En effet, la lutte contre la multiplication des résidences secondaires ne devait pas être menée à l'échelle d'un quartier, mais à l'échelle de la commune, voire de la région. L'argumentation présentée par les recourants n'est pas de nature à remettre en cause cette appréciation. Ils prétendent qu'il n'est "pas sérieux de soutenir", comme l'aurait fait le Tribunal cantonal, "que l'étude du plan de quartier [...] puisse valablement se faire en faisant abstraction de la planification communale (voire régionale)". L'arrêt querellé n'a cependant pas cette teneur, puisqu'il se limite à constater que l'instrument proposé par les recourants, à savoir l'adoption d'un plan de quartier pour le secteur "La Frasse-Dessous", n'est pas apte à lutter contre la problématique plus générale des "lits froids". Les recourants reconnaissent d'ailleurs que leur demande de plan de quartier ne visait concrètement qu'à faire échec au projet de construction autorisé dans le secteur par décision du 6 août 2009 (recours p. 7 in fine), même s'ils prétendent par ailleurs vouloir éviter que ce projet compromette la politique générale de lutte contre les lits froids. Il n'est cependant nullement établi que le refus du plan de quartier, voire la réalisation du projet contesté, remette en cause la politique générale de lutte contre le développement excessif des résidences secondaires. En définitive, c'est bien l'aspect local de la mesure requise qui a motivé le refus de celle-ci, un plan de quartier limité au secteur concerné n'étant pas de nature à atteindre les objectifs prétendument poursuivis par les requérants. Dans ces conditions, il n'apparaît pas que la commune ait abusé de son pouvoir d'appréciation en refusant l'établissement du plan de quartier demandé, de sorte que l'arrêt attaqué peut être confirmé sur ce point.</w:t>
      </w:r>
    </w:p>
    <w:p>
      <w:r>
        <w:rPr>
          <w:b/>
        </w:rPr>
        <w:t>E. 7</w:t>
      </w:r>
    </w:p>
    <w:p>
      <w:r>
        <w:t>Il s'ensuit que le recours doit être rejeté, dans la mesure de sa recevabilité. Les recourants, qui succombent, doivent supporter les frais de la présente procédure ( art. 66 al. 1 LTF ). Ils verseront en outre une indemnité à titre de dépens à l'intimée, qui s'est déterminée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