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1C_435/2010 vom 6. Dezember 2010</w:t>
      </w:r>
    </w:p>
    <w:p>
      <w:r>
        <w:t>Bundesgericht, 2010-12-06, DE</w:t>
      </w:r>
    </w:p>
    <w:p>
      <w:r>
        <w:rPr>
          <w:b/>
        </w:rPr>
        <w:t xml:space="preserve">Quelle: </w:t>
      </w:r>
      <w:r>
        <w:t>https://mcp.opencaselaw.ch/entscheid/bger_1C_435_2010</w:t>
      </w:r>
    </w:p>
    <w:p>
      <w:r>
        <w:t>FR: TF 1C_435/2010 du 6 décembre 2010</w:t>
      </w:r>
    </w:p>
    <w:p>
      <w:r>
        <w:t>IT: TF 1C_435/2010 del 6 dicembre 2010</w:t>
      </w:r>
    </w:p>
    <w:p>
      <w:pPr>
        <w:pStyle w:val="Heading2"/>
      </w:pPr>
      <w:r>
        <w:t>Erwägungen</w:t>
      </w:r>
    </w:p>
    <w:p>
      <w:r>
        <w:rPr>
          <w:b/>
        </w:rPr>
        <w:t>E. 1</w:t>
      </w:r>
    </w:p>
    <w:p>
      <w:r>
        <w:t>Gegen den angefochtenen Entscheid ist gemäss Art. 82 lit. a BGG die Beschwerde in öffentlich-rechtlichen Angelegenheiten gegeben. Die Sachurteilsvoraussetzungen geben zu keinen Bemerkungen Anlass. Auf die Beschwerde ist einzutreten.</w:t>
      </w:r>
    </w:p>
    <w:p>
      <w:r>
        <w:rPr>
          <w:b/>
        </w:rPr>
        <w:t>E. 2.1</w:t>
      </w:r>
    </w:p>
    <w:p>
      <w:r>
        <w:t>Der Beschwerdeführer rügt vorweg die Verletzung des Anspruchs auf rechtliches Gehör ( Art. 29 Abs. 2 BV ). Die Vorinstanz habe auf das Schreiben des Verkehrsamtes vom 27. August 2010 abgestellt, ohne ihm dieses vor Erlass des angefochtenen Entscheids zur Stellungnahme zuzustellen.</w:t>
      </w:r>
    </w:p>
    <w:p>
      <w:r>
        <w:rPr>
          <w:b/>
        </w:rPr>
        <w:t>E. 2.2</w:t>
      </w:r>
    </w:p>
    <w:p>
      <w:r>
        <w:t>Der Anspruch auf rechtliches Gehör ist ein Teilaspekt des allgemeinen Grundsatzes des fairen Verfahrens von Art. 29 Abs. 1 BV bzw. Art. 6 Ziff. 1 EMRK . Er umfasst unter anderem das Recht, von jeder dem Gericht eingereichten Stellungnahme Kenntnis zu nehmen und sich dazu äussern zu können. Das auf Art. 29 Abs. 2 BV gestützte Replikrecht gilt für alle gerichtlichen Verfahren, auch solche, die nicht in den Schutzbereich von Art. 6 Ziff. 1 EMRK fallen ( BGE 133 I 100 E. 4.3-4.6 S. 102 ff.).</w:t>
      </w:r>
    </w:p>
    <w:p>
      <w:r>
        <w:rPr>
          <w:b/>
        </w:rPr>
        <w:t>E. 2.3.1</w:t>
      </w:r>
    </w:p>
    <w:p>
      <w:r>
        <w:t>Der Beschwerdeführer erhob mit Eingabe vom 24. August 2010 Beschwerde bei der Vorinstanz und machte geltend, er habe gegen den Entscheid des Strafgerichts vom 28. Januar 2010 appelliert, weshalb dieser nicht rechtskräftig sei. Das Verkehrsamt habe ihm gestützt darauf den Führerausweis nicht aberkennen dürfen.</w:t>
      </w:r>
    </w:p>
    <w:p>
      <w:r>
        <w:t>Das Verkehrsamt teilte der Vorinstanz im Schreiben vom 27. August 2010 mit, es habe die angefochtene Verfügung vom 18. August 2010 aufgehoben. Es fordere die Strafbehörden jeweils auf, den rechtskräftigen Strafentscheid zuzustellen. Man sei deshalb von der Rechtskraft des zugestellten Entscheids des Strafgerichts ausgegangen. Im Verfahren vor dem Verkehrsamt habe der Beschwerdeführer im Zuge des rechtlichen Gehörs nicht erwähnt, dass das Strafverfahren noch hängig sei. Damit habe er seine Mitwirkungsobliegenheiten verletzt.</w:t>
      </w:r>
    </w:p>
    <w:p>
      <w:r>
        <w:t>Die Vorinstanz stellte dieses Schreiben dem Beschwerdeführer weder zur Kenntnis noch zur Stellungnahme zu. Das Beschwerdeverfahren schrieb sie am 30. August 2010 ab. Dabei verwies sie auf das Schreiben des Verkehrsamtes und übernahm dessen Begründung, um dem Beschwerdeführer die Kosten aufzuerlegen und ihm keine Entschädigung zuzusprechen.</w:t>
      </w:r>
    </w:p>
    <w:p>
      <w:r>
        <w:t>Das Schreiben des Verkehrsamtes enthielt entscheidwesentliche Ausführungen, zu denen der Beschwerdeführer keine Stellungnahme hatte abgeben können. Mit Erlass der ihn in den Kosten- und Entschädigungsfolgen belastenden Verfügung hat die Vorinstanz seinen Anspruch auf rechtliches Gehör verletzt.</w:t>
      </w:r>
    </w:p>
    <w:p>
      <w:r>
        <w:rPr>
          <w:b/>
        </w:rPr>
        <w:t>E. 2.3.2</w:t>
      </w:r>
    </w:p>
    <w:p>
      <w:r>
        <w:t>Die Verletzung des rechtlichen Gehörs kann im vorliegenden Fall nicht im bundesgerichtlichen Verfahren geheilt werden (vgl. BGE 133 I 201 E. 2.2 S. 204 f.). Die Regelung der Kosten- und Entschädigungsfolgen stützt sich auf kantonales Recht bzw. die kantonale Praxis. Die Kognition des Bundesgerichts ist in diesem Bereich eingeschränkter als diejenige der Vorinstanz (vgl. Art. 95 BGG ). Die Verweigerung des rechtlichen Gehörs führt daher zur Aufhebung des angefochtenen Entscheids hinsichtlich der Kosten- und Entschädigungsfolgen (vgl. BGE 135 I 187 E. 2.2 S. 190).</w:t>
      </w:r>
    </w:p>
    <w:p>
      <w:r>
        <w:rPr>
          <w:b/>
        </w:rPr>
        <w:t>E. 3</w:t>
      </w:r>
    </w:p>
    <w:p>
      <w:r>
        <w:t>Die Beschwerde ist gutzuheissen, der angefochtene Entscheid hinsichtlich der Kosten- und Entschädigungsfolgen aufzuheben und die Sache zur neuen Beurteilung an die Vorinstanz zurückzuweisen. Gerichtskosten sind bei diesem Ausgang des Verfahrens nicht zu erheben ( Art. 66 Abs. 4 BGG ). Der Kanton hat dem Beschwerdeführer eine Entschädigung für das Verfahren vor Bundesgericht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