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1C_434/2018 vom 1. Februar 2019</w:t>
      </w:r>
    </w:p>
    <w:p>
      <w:r>
        <w:t>Bundesgericht, 2019-02-01, DE</w:t>
      </w:r>
    </w:p>
    <w:p>
      <w:r>
        <w:rPr>
          <w:b/>
        </w:rPr>
        <w:t xml:space="preserve">Quelle: </w:t>
      </w:r>
      <w:r>
        <w:t>https://mcp.opencaselaw.ch/entscheid/bger_1C_434_2018</w:t>
      </w:r>
    </w:p>
    <w:p>
      <w:r>
        <w:t>FR: TF 1C_434/2018 du 1 février 2019</w:t>
      </w:r>
    </w:p>
    <w:p>
      <w:r>
        <w:t>IT: TF 1C_434/2018 del 1 febbraio 2019</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offen ( Art. 82 lit. a, Art. 86 Abs. 1 lit. d und Art. 90 BGG ). Der Beschwerdeführer nahm am vorinstanzlichen Verfahren teil und verfügt - entgegen der Auffassung des Beschwerdegegners - über ein aktuelles schutzwürdiges Interesse an der Aufhebung oder Änderung des angefochtenen Entscheids, weil seinem Gesuch um Einsicht nicht stattgegeben wurde. Er ist somit zur Beschwerdeerhebung befugt (vgl. Art. 89 Abs. 1 BGG ). Die übrigen Sachurteilsvoraussetzungen geben zu keinen Bemerkungen Anlass, weshalb auf die Beschwerde grundsätzlich einzutreten ist.</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III 364 E. 2.4 S. 367 f. mit Hinweisen).</w:t>
      </w:r>
    </w:p>
    <w:p>
      <w:r>
        <w:rPr>
          <w:b/>
        </w:rPr>
        <w:t>E. 2.1</w:t>
      </w:r>
    </w:p>
    <w:p>
      <w:r>
        <w:t>Der Beschwerdeführer rügt vorab, das Vorgehen der Vorinstanz, den Beschwerdegegner im verwaltungsgerichtlichen Verfahren als Partei, nämlich als Beschwerdeführer 2 zu behandeln, obschon dieser keine Beschwerde erhoben habe, sei willkürlich. Die Vorinstanz habe Bundesrecht (Art. 9 und Art. 29 Abs. 1 und 2 BV ) verletzt, wenn sie seine "Nichtbeschwerde" gutgeheissen bzw. einem "sinngemässen" Antrag des Beschwerdegegners auf Abweisung des Einsichtsgesuchs entsprochen habe, welchen dieser im verwaltungsgerichtlichen Verfahren gar nicht - jedenfalls nicht fristgemäss - gestellt habe.</w:t>
      </w:r>
    </w:p>
    <w:p>
      <w:r>
        <w:rPr>
          <w:b/>
        </w:rPr>
        <w:t>E. 2.2</w:t>
      </w:r>
    </w:p>
    <w:p>
      <w:r>
        <w:t>Die Vorinstanz hielt diesbezüglich fest, der Beschwerdegegner habe sich im Verfahren vor dem DVI und im verwaltungsgerichtlichen Verfahren umfassend geäussert und sich gegen die Gewährung der Akteneinsicht ausgesprochen. Damit habe er sinngemäss die Abweisung des Gesuchs um Akteneinsicht beantragt, weshalb der Beschwerdegegner im verwaltungsgerichtlichen Verfahren als Beschwerdeführer 2 zu behandeln sei. Da der Beschwerdegegner aufgrund seiner eigenen Anträge ohnehin bereits Partei gewesen sei, sei auch die Beiladungsverfügung vom 18. Januar 2018 überflüssig und wiedererwägungsweise aufzuheben.</w:t>
      </w:r>
    </w:p>
    <w:p>
      <w:r>
        <w:rPr>
          <w:b/>
        </w:rPr>
        <w:t>E. 3.1</w:t>
      </w:r>
    </w:p>
    <w:p>
      <w:r>
        <w:t>Art. 9 BV gewährleistet jeder Person den Anspruch darauf, von den staatlichen Organen ohne Willkür und nach Treu und Glauben behandelt zu werden. Ein Entscheid ist willkürlich,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t>Nach Art. 29 Abs. 1 BV hat jede Person in Verfahren vor Gerichts- und Verwaltungsinstanzen Anspruch auf gleiche und gerechte Behandlung sowie auf Beurteilung innert angemessener Frist. Der in Art. 29 Abs. 2 BV verankerte Anspruch auf rechtliches Gehör verlangt sodann, dass die Justizbehörde die Vorbringen der Parteien auch tatsächlich hört, prüft und in der Entscheidfindung berücksichtigt; daraus folgt insbesondere die Verpflichtung der Behörde, ihren Entscheid ausreichend und nachvollziehbar zu begründen ( BGE 142 III 433 E. 4.3.2 S. 436; zur Publ. vorgesehenes Urteil 1C_393/2018 vom 14. Dezember 2018 E. 3.1; je mit Hinweisen).</w:t>
      </w:r>
    </w:p>
    <w:p>
      <w:r>
        <w:rPr>
          <w:b/>
        </w:rPr>
        <w:t>E. 3.2</w:t>
      </w:r>
    </w:p>
    <w:p>
      <w:r>
        <w:t>Gemäss § 13 Abs. 2 lit. c des Gesetzes vom 4. Dezember 2007 über die Verwaltungsrechtspflege des Kantons Aargau (Verwaltungsrechtspflegegesetz, VRPG/AG; SAR 271.200) sind Dritte, die sich am Verfahren mit eigenen Anträgen beteiligen, im Beschwerdeverfahren Partei. Die Parteieigenschaft des Beschwerdegegners ist vor Bundesgericht grundsätzlich unbestritten. Der Beschwerdeführer selbst führt aus, es sei der Vorinstanz zu folgen, wenn sie festhalte, dem Beschwerdegegner komme Parteistellung zu.</w:t>
      </w:r>
    </w:p>
    <w:p>
      <w:r>
        <w:t>Umstritten ist dagegen, ob die Auffassung der Vorinstanz vor dem Bundesrecht standhält, wonach der Beschwerdegegner im verwaltungsgerichtlichen Verfahren nicht nur als Partei, sondern als Beschwerdeführer zu behandeln war.</w:t>
      </w:r>
    </w:p>
    <w:p>
      <w:r>
        <w:rPr>
          <w:b/>
        </w:rPr>
        <w:t>E. 4.1</w:t>
      </w:r>
    </w:p>
    <w:p>
      <w:r>
        <w:t>Nach § 41 Abs. 1 VRPG/AG können Entscheide mit Beschwerde angefochten werden. § 43 VRPG/AG schreibt vor, dass Beschwerden schriftlich bei der Beschwerdeinstanz einzureichen sind (Abs. 1) und die Beschwerdeschrift einen Antrag sowie eine Begründung enthalten muss. Auf Beschwerden, die diesen Anforderungen nicht entsprechen, wird nicht eingetreten (Abs. 2). Gemäss § 44 Abs. 1 VRPG/AG sind Beschwerden innert 30 Tagen seit Eröffnung des anzufechtenden Entscheids einzureichen. Vorbehalten bleiben Sonderbestimmungen in anderen Erlassen. Vorliegend ist keine solche Sonderbestimmung ersichtlich, denn das im vorliegenden Fall anwendbare Gesetz vom 24. Oktober 2006 über die Information der Öffentlichkeit, den Datenschutz und das Archivwesen des Kantons Aargau (IDAG; SAR 150.700) verweist in § 39 Abs. 1 IDAG auf das VRPG/AG, womit vorliegend die 30-tägige Beschwerdefrist zur Anwendung gelangt.</w:t>
      </w:r>
    </w:p>
    <w:p>
      <w:r>
        <w:rPr>
          <w:b/>
        </w:rPr>
        <w:t>E. 4.2</w:t>
      </w:r>
    </w:p>
    <w:p>
      <w:r>
        <w:t>Aus den Akten wird ersichtlich, dass der Beschwerdegegner keine den in § 43 VRPG/AG definierten Voraussetzungen entsprechende Beschwerde gegen den Entscheid des DVI vom 13. November 2017 innert der 30-tägigen Beschwerdefrist gemäss § 44 Abs. 1 VRPG/AG eingereicht hat.</w:t>
      </w:r>
    </w:p>
    <w:p>
      <w:r>
        <w:rPr>
          <w:b/>
        </w:rPr>
        <w:t>E. 4.3</w:t>
      </w:r>
    </w:p>
    <w:p>
      <w:r>
        <w:t>Die Vorinstanz hält in ihrem Entscheid diesbezüglich lediglich fest, der Beschwerdegegner habe sich umfassend geäussert und sich gegen die Gewährung der Akteneinsicht ausgesprochen, deshalb sei er als Beschwerdeführer 2 zu behandeln. Sie legt aber weder dar, aus welchen Schreiben sie diese Aussage entnimmt noch inwiefern die Beschwerdefrist eingehalten sein soll.</w:t>
      </w:r>
    </w:p>
    <w:p>
      <w:r>
        <w:rPr>
          <w:b/>
        </w:rPr>
        <w:t>E. 4.4</w:t>
      </w:r>
    </w:p>
    <w:p>
      <w:r>
        <w:t>Damit die Eingaben des Beschwerdegegners allenfalls als Beschwerdeschrift in Betracht kommen könnten, müssten sie über einen Antrag sowie über eine Begründung verfügen (vgl. § 43 Abs. 2 VRPG/AG). An Laieneingaben sind sodann generell keine allzu hohen Anforderungen zu stellen (Urteil 2C_1038/2018 vom 7. Dezember 2018 E. 1.2; BGE 118 Ib 134 E. 2 S. 135 f.; je mit Hinweisen). Der klare Wille zur Anfechtung muss bei Rechtsmitteln aber schriftlich bekundet werden ( BGE 117 Ia 126 E. 5b S. 130 f.).</w:t>
      </w:r>
    </w:p>
    <w:p>
      <w:r>
        <w:t>Die aktenkundigen Schreiben des im verwaltungsgerichtlichen Verfahren noch nicht anwaltlich vertretenen Beschwerdegegners enthalten keine Anträge im eigentlichen Sinne. Seinen Ausführungen kann zwar entnommen werden, dass er der Auffassung ist, der Beschwerdeführer habe keinen Rechtsanspruch auf Einsicht in die Bauakten bzw. sein Verhalten verdiene keinen Rechtsschutz (vgl. Stellungnahme des Beschwerdegegners vom 8. März 2018, S. 1 bzw. vom 22. März 2018, S. 6). Hingegen fehlt es an einem klar als solchen erkennbaren Antrag. Auch unter Berücksichtigung des Umstandes, wonach es sich beim Beschwerdegegner um einen juristischen Laien handelt, lässt sich sodann seinen Eingaben nicht unmissverständlich entnehmen, er wolle Beschwerdeführer sein. Es reicht hierfür nicht aus, wenn er darlegt, weshalb er der Auffassung ist, es bestünde kein Grund, Einsicht zu gewähren. Inwieweit allenfalls ein Beschwerdewille aus seiner E-Mail vom 8. November 2017 gelesen werden könnte, wo er ausführt, er werde, da er "selber nur Opfer und nicht Partei" sei, bei der Gemeinde darauf hinwirken, dass sie "weiterhin die legitimen Schutzinteressen eines ihrer Mitbewohner" wahrnehme und er sich "im Rechtsstaat gerne für sich und seine Rechte einsetzen" möchte, kann vorliegend offenbleiben. Eine gewöhnliche E-Mail kann zum einen keine rechtsgenügliche, fristwahrende Beschwerde darstellen (vgl. § 43 Abs. 1 i.V.m. § 7 VRPG/AG), zum anderen ist die E-Mail vor dem Entscheid des DVI verfasst worden, weshalb sie ohnehin keine Beschwerde gegen diesen Entscheid darstellen kann.</w:t>
      </w:r>
    </w:p>
    <w:p>
      <w:r>
        <w:t>Im Übrigen wurde dem Beschwerdegegner gemäss Aktennotiz vom 9. November 2017 angeboten, ihn zum Verfahren vor dem DVI beizuladen, worauf der Beschwerdegegner aber verzichtet haben soll. Dieser Verzicht, auch wenn er grundsätzlich, wie dies von der Vorinstanz zu Recht ausgeführt wurde, unerheblich ist, da der Beschwerdegegner von Amtes wegen hätte beigeladen werden können bzw. vorliegend sogar müssen (vgl. § 12 Abs. 1 VRPG/AG), lässt aber darauf schliessen, der Beschwerdegegner habe zu jenem Zeitpunkt keine aktive Parteistellung einnehmen wollen. Inwiefern dieser Verzicht allenfalls aufgrund der Falschauskunft des DVI erfolgte (vgl. E. 5.3 hiernach), gemäss welcher der Gemeinderat seinen Entscheid anfechten könne, lässt sich nicht sagen, zumal sich der Beschwerdegegner in seiner Beschwerdeantwort nicht zu seinem allfälligen Beschwerdewillen vor der Vorinstanz vernehmen liess. Da es den Schreiben folglich an einem genügend konkret formulierten Antrag im Sinne von § 43 Abs. 2 VRPG/AG fehlt, um als Beschwerde angesehen zu werden, ist nicht nachvollziehbar, woraus die Vorinstanz die formgerechte Beschwerde abgeleitet hat, was sie im Übrigen in Verletzung ihrer Begründungspflicht auch nicht aufgezeigt hat.</w:t>
      </w:r>
    </w:p>
    <w:p>
      <w:r>
        <w:rPr>
          <w:b/>
        </w:rPr>
        <w:t>E. 5.1</w:t>
      </w:r>
    </w:p>
    <w:p>
      <w:r>
        <w:t>Selbst wenn aber davon ausgegangen werden könnte, die Schreiben des Beschwerdegegners seien als Beschwerde anzusehen, müssten sie innert der Rechtsmittelfrist erhoben worden sein (§ 44 VRPG/AG). Dies bestreitet der Beschwerdeführer vorliegend. Er wendet ein, die Schreiben des Beschwerdegegners vom 8. bzw. 22. März 2018 seien offensichtlich verspätet eingereicht worden. Sofern sich die Vorinstanz auf diese beiden Schreiben gestützt habe, sei dies willkürlich, da die Rechtsmittelfrist bereits am 14. Dezember 2017 abgelaufen sei.</w:t>
      </w:r>
    </w:p>
    <w:p>
      <w:r>
        <w:rPr>
          <w:b/>
        </w:rPr>
        <w:t>E. 5.2</w:t>
      </w:r>
    </w:p>
    <w:p>
      <w:r>
        <w:t>Dem Beschwerdeführer ist grundsätzlich zuzustimmen, wenn er festhält, die Schreiben des Beschwerdegegners vom März 2018 hätten die Beschwerdefrist nicht eingehalten. Andere Schreiben des Beschwerdegegners, welche nach dem Entscheid des DVI vom 13. November 2017 eingegangen sind, sind nicht bekannt. Von vornherein nicht nachvollziehbar ist insofern die pauschale Erwägung der Vorinstanz, auf die "frist- und formgerecht" eingereichte Beschwerde sei einzutreten. Die Vorinstanz legt in keiner Weise dar, weshalb sie davon ausgeht, die "Beschwerde", was auch immer sie darunter versteht (vgl. E. 4.4 hiervor), sei fristgerecht eingereicht worden.</w:t>
      </w:r>
    </w:p>
    <w:p>
      <w:r>
        <w:rPr>
          <w:b/>
        </w:rPr>
        <w:t>E. 5.3</w:t>
      </w:r>
    </w:p>
    <w:p>
      <w:r>
        <w:t>Die Vorinstanz stellte im angefochtenen Entscheid zwar fest, der Entscheid des DVI hätte dem Beschwerdegegner aufgrund seiner Parteistellung eröffnet statt lediglich mitgeteilt werden müssen (vgl. § 26 Abs. 1 VRPG/AG). Sie zeigt jedoch nicht auf, weshalb aufgrund der konkreten Umstände im vorliegenden Fall die mangelhafte Eröffnung dazu geführt habe, dass die bis am 14. Dezember 2017 laufende Rechtsmittelfrist für den Beschwerdegegner nicht zu laufen begonnen habe (vgl. dazu: BGE 132 I 249 E. 6 S. 253 f.; Urteil 1C_37/2018 vom 6. Juli 2018 E. 5; je mit Hinweisen) und sie von einer fristgemässen Eingabe ausgehe. Dies ist umso weniger ersichtlich, als der Beschwerdegegner spätestens seit der Beiladung zum Beschwerdeverfahren den für ihn nachteiligen Entscheid kannte. Die unbegründete Feststellung der Vorinstanz, wonach die Beschwerde fristgerecht eingereicht worden sei, steht jedenfalls im klaren Widerspruch zur tatsächlichen Situation.</w:t>
      </w:r>
    </w:p>
    <w:p>
      <w:r>
        <w:t>Daran ändert auch der Umstand nichts, dass der Beschwerdegegner womöglich lediglich aufgrund der (falschen) telefonischen Auskunft des DVI, wonach der Gemeinderat die Möglichkeit habe, das Verfahren an das Verwaltungsgericht weiterzuziehen, darauf vertraute, der Gemeinderat werde in seinem Sinne Beschwerde führen, und selbst darauf verzichtete, Beschwerde zu führen. Es kann insofern offenbleiben, ob aufgrund des Vertrauensschutzes davon ausgegangen werden könnte, die Frist sei für den Beschwerdegegner nicht abgelaufen. Diese Frage wäre lediglich zu klären, wenn der Beschwerdegegner von sich aus tatsächlich eine (verspätete) Beschwerde eingereicht hätte, auf welche nicht eingetreten worden wäre. Diese Prüfung erübrigt sich im hier zu beurteilenden Fall, wo die Vorinstanz eine angebliche Beschwerde aus diversen Schreiben des Beschwerdegegners "ableiten" will, ohne auch nur annähernd darzulegen, inwiefern die Frist eingehalten ist. Dies insbesondere auch im Hinblick darauf, dass gesetzliche Fristen (vgl. § 44 Abs. 1 VRPG/AG) gemäss § 28 Abs. 3 VRPG/AG grundsätzlich nicht erstreckt werden können.</w:t>
      </w:r>
    </w:p>
    <w:p>
      <w:r>
        <w:rPr>
          <w:b/>
        </w:rPr>
        <w:t>E. 6.1</w:t>
      </w:r>
    </w:p>
    <w:p>
      <w:r>
        <w:t>Das Vorgehen der Vorinstanz, den Beschwerdegegner als Beschwerdeführer 2 zu behandeln, ist nach dem Gesagten nicht haltbar. Die Äusserungen bzw. Anträge des Beschwerdegegners im Verfahren und die damit verbundene Parteistellung, welche im Verfahren vor dem DVI verkannt wurde, führen lediglich dazu, dass der Beschwerdegegner vor dem Verwaltungsgericht eine eigene Beschwerde hätte erheben können. Die Folgerung der Vorinstanz, wonach der Beschwerdegegner mithin zur Beschwerde legitimiert gewesen wäre, ist insofern nicht zu beanstanden, jedoch widerspricht die Behandlung des Beschwerdegegners als Beschwerdeführer 2 dem geltenden Recht. Wie aufgezeigt, hat der Beschwerdegegner keine den Voraussetzungen von § 43 und 44 VRPG/AG entsprechende Beschwerde eingereicht.</w:t>
      </w:r>
    </w:p>
    <w:p>
      <w:r>
        <w:rPr>
          <w:b/>
        </w:rPr>
        <w:t>E. 6.2</w:t>
      </w:r>
    </w:p>
    <w:p>
      <w:r>
        <w:t>Die regelkonforme Verfahrensdurchführung bedeutet auf allen Stufen nicht nur ein (einschränkbares) subjektives Recht, sondern hat darüber hinaus objektiv-institutionellen Charakter. Aus ihr schöpft sich wesentlich die Legitimität des Gerichtsurteils und damit auch die Akzeptanz des Entscheids (JOHANNA DORMANN, in: Basler Kommentar, Bundesgerichtsgesetz, 3. Aufl. 2018, N. 13 zu Art. 107 BGG ). An dieser Akzeptanz fehlt es vorliegend berechtigterweise, wenn ein angeblich sinngemäss geltend gemachter Antrag einer nicht als Beschwerdeführer auftretenden Partei gutgeheissen wird, ohne ausführlich und nachvollziehbar darzulegen, was genau als Beschwerde angesehen wird und inwiefern diesbezüglich die Frist eingehalten ist bzw. weshalb im konkreten Fall davon abgesehen werden kann. Die Behandlung des Beschwerdegegners als Beschwerdeführer 2 durch die Vorinstanz ist als offensichtlich unrichtig und willkürlich zu bezeichnen. Die Kritik des Beschwerdeführers am Vorgehen der Vorinstanz ist begründet.</w:t>
      </w:r>
    </w:p>
    <w:p>
      <w:r>
        <w:t>Nach dem Gesagten erübrigt es sich, auf die weiteren Rügen des Beschwerdeführers einzugehen.</w:t>
      </w:r>
    </w:p>
    <w:p>
      <w:r>
        <w:rPr>
          <w:b/>
        </w:rPr>
        <w:t>E. 7</w:t>
      </w:r>
    </w:p>
    <w:p>
      <w:r>
        <w:t>Demnach ist die Beschwerde gutzuheissen. Der angefochtene Entscheid ist aufzuheben und der Entscheid des DVI zu bestätigen. Bei diesem Ausgang des Verfahrens würde grundsätzlich der Beschwerdegegner kostenpflichtig. In der vorliegenden Situation rechtfertigt es sich hingegen, darauf zu verzichten ( Art. 66 Abs. 1 BGG ). Sodann hat der Kanton Aargau dem anwaltlich vertretenen Beschwerdegegner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