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1C_432/2015 vom 15. September 2015</w:t>
      </w:r>
    </w:p>
    <w:p>
      <w:r>
        <w:t>Bundesgericht, 2015-09-15, IT</w:t>
      </w:r>
    </w:p>
    <w:p>
      <w:r>
        <w:rPr>
          <w:b/>
        </w:rPr>
        <w:t xml:space="preserve">Quelle: </w:t>
      </w:r>
      <w:r>
        <w:t>https://mcp.opencaselaw.ch/entscheid/bger_1C_432_2015</w:t>
      </w:r>
    </w:p>
    <w:p>
      <w:r>
        <w:t>FR: TF 1C_432/2015 du 15 septembre 2015</w:t>
      </w:r>
    </w:p>
    <w:p>
      <w:r>
        <w:t>IT: TF 1C_432/2015 del 15 settembre 2015</w:t>
      </w:r>
    </w:p>
    <w:p>
      <w:pPr>
        <w:pStyle w:val="Heading2"/>
      </w:pPr>
      <w:r>
        <w:t>Erwägungen</w:t>
      </w:r>
    </w:p>
    <w:p>
      <w:r>
        <w:rPr>
          <w:b/>
        </w:rPr>
        <w:t>E. 1.1</w:t>
      </w:r>
    </w:p>
    <w:p>
      <w:r>
        <w:t>Secondo l' art. 84 LTF , contro le decisioni emanate nel campo dell'assistenza giudiziaria internazionale in materia penale il ricorso è ammissibile soltanto se concerne, tra l'altro, come in concreto, un'estradizione ( DTF 136 IV 20 consid. 1.1 e 1.2) e, inoltre, se si tratti di un caso particolarmente importante (cpv. 1).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 Conformemente all' art. 42 cpv. 2 LTF , spetta al ricorrente dimostrare che le condizioni di entrata in materia richieste dall' art. 84 LTF sono adempiute ( DTF 139 IV 294 consid. 1.1).</w:t>
      </w:r>
    </w:p>
    <w:p>
      <w:r>
        <w:rPr>
          <w:b/>
        </w:rPr>
        <w:t>E. 1.2</w:t>
      </w:r>
    </w:p>
    <w:p>
      <w:r>
        <w:t>Quest'ultima norma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anche in materia estradizionale, il Tribunale federale dispone di un ampio potere di apprezzamento ( DTF 134 IV 156 consid. 1.3.1 e 1.3.2).</w:t>
      </w:r>
    </w:p>
    <w:p>
      <w:r>
        <w:rPr>
          <w:b/>
        </w:rPr>
        <w:t>E. 2.1</w:t>
      </w:r>
    </w:p>
    <w:p>
      <w:r>
        <w:t>Riguardo all'ammissibilità del gravame, il ricorrente si limita a richiamare l'art. 93 cpv. 2 secondo periodo LTF. Ora, è pacifico che una decisione concernente la carcerazione estradizionale costituisce una decisione incidentale impugnabile ( DTF 136 IV 20 consid. 1.1 pag. 22). Egli non tenta tuttavia di dimostrare che in concreto ciò che è decisivo, si sarebbe in presenza di un caso particolarmente importante ai sensi dell' art. 84 cpv. 1 LTF , norma da lui nemmeno menzionata. Anche nell'ambito di una carcerazione estradizionale il ricorrente deve infatti dimostrare l'adempimento del requisito di ammissibilità richiesto da questa norma ( DTF 136 IV 20 consid. 1.2 pag. 22 e rinvii; sentenza 1C_519/2014 del 4 novembre 2014 consid. 1.3 e 1.4).</w:t>
      </w:r>
    </w:p>
    <w:p>
      <w:r>
        <w:rPr>
          <w:b/>
        </w:rPr>
        <w:t>E. 2.2</w:t>
      </w:r>
    </w:p>
    <w:p>
      <w:r>
        <w:t>Il ricorrente fa valere soltanto un'asserita lesione degli art. 47 cpv. 1 lett. b e 53 AIMP (RS 351.1), concernenti la verifica dell'alibi, asserendo che il TPF avrebbe valutato in maniera arbitraria le testimonianze rese da determinate persone, in parte a lui vicine, tendenti a provare che al momento dei fatti egli non si sarebbe trovato nel luogo di commissione del prospettato reato ( art. 53 cpv. 1 AIMP ). Contesta poi, in maniera del tutto generica, l'accertato pericolo di fuga. Egli non tenta tuttavia di dimostrare che il TPF per ambedue le fattispecie si sarebbe scostato dalla giurisprudenza costante, ciò che peraltro non si verifica in concreto. Trattandosi meramente di una critica alla valutazione delle prove effettuata dall'istanza precedente, non si è manifestamente in presenza di un caso particolarmente importante ai sensi dell' art. 84 LTF , circostanza, come già visto, del resto neppure fatta valere dal ricorrente.</w:t>
      </w:r>
    </w:p>
    <w:p>
      <w:r>
        <w:rPr>
          <w:b/>
        </w:rPr>
        <w:t>E. 3</w:t>
      </w:r>
    </w:p>
    <w:p>
      <w:r>
        <w:t>Il ricorso è pertanto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