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1C_431/2021 vom 23. Juli 2021</w:t>
      </w:r>
    </w:p>
    <w:p>
      <w:r>
        <w:t>Bundesgericht, 2021-07-23, DE</w:t>
      </w:r>
    </w:p>
    <w:p>
      <w:r>
        <w:rPr>
          <w:b/>
        </w:rPr>
        <w:t xml:space="preserve">Quelle: </w:t>
      </w:r>
      <w:r>
        <w:t>https://mcp.opencaselaw.ch/entscheid/bger_1C_431_2021</w:t>
      </w:r>
    </w:p>
    <w:p>
      <w:r>
        <w:t>FR: TF 1C_431/2021 du 23 juillet 2021</w:t>
      </w:r>
    </w:p>
    <w:p>
      <w:r>
        <w:t>IT: TF 1C_431/2021 del 23 luglio 2021</w:t>
      </w:r>
    </w:p>
    <w:p>
      <w:pPr>
        <w:pStyle w:val="Heading2"/>
      </w:pPr>
      <w:r>
        <w:t>Erwägungen</w:t>
      </w:r>
    </w:p>
    <w:p>
      <w:r>
        <w:rPr>
          <w:b/>
        </w:rPr>
        <w:t>E. 1</w:t>
      </w:r>
    </w:p>
    <w:p>
      <w:r>
        <w:t>Am 7. Mai 2021 ordnete die Stadtpolizei Winterthur gestützt auf das Gewaltschutzgesetz des Kantons Zürich vom 19. Juni 2006 (GSG) gegen A.________ ein Kontaktverbot zu B.________ sowie Rayonverbote bezüglich ihrer Arbeitsorte - namentlich der Poststelle C.________ - für die Dauer von 14 Tagen an.</w:t>
      </w:r>
    </w:p>
    <w:p>
      <w:r>
        <w:t>Auf Ersuchen von B.________ verlängerte der Haftrichter am Bezirksgericht Winterthur diese Schutzmassnahmen am 19. Mai 2021 in leicht abgeänderter Form um drei Monate bis zum 21. August 2021.</w:t>
      </w:r>
    </w:p>
    <w:p>
      <w:r>
        <w:t>Am 16. Juni 2021 trat das Verwaltungsgericht des Kantons Zürich auf die von A.________ dagegen erhobene Beschwerde nicht ein.</w:t>
      </w:r>
    </w:p>
    <w:p>
      <w:r>
        <w:t>Mit Eingabe vom 10. Juli 2021 erhebt A.________ Beschwerde gegen diese Verfügung des Verwaltungsgerichts. Soweit nachvollziehbar, verlangt er damit wohl sinngemäss die Aufhebung der Schutzmassnahmen und erklärt, die ihm auferlegten Verfahrenskosten von Fr. 605.-- nicht bezahlen zu wollen.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ist auf die Beschwerde des Beschwerdeführers nicht eingetreten mit der Begründung, er habe die 5-tägige Beschwerdefrist von § 11a Abs. 1 GSG nicht eingehalten. Der Beschwerdeführer setzt sich damit nicht auseinander und legt nicht dar, inwiefern es durch das Nichteintreten und durch die Kostenauflage Bundesrecht verletzt haben könnte. Das ist auch nicht ersichtlich. Auf die Beschwerde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