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1C_431/2015 vom 14. März 2016</w:t>
      </w:r>
    </w:p>
    <w:p>
      <w:r>
        <w:t>Bundesgericht, 2016-03-14, DE</w:t>
      </w:r>
    </w:p>
    <w:p>
      <w:r>
        <w:rPr>
          <w:b/>
        </w:rPr>
        <w:t xml:space="preserve">Quelle: </w:t>
      </w:r>
      <w:r>
        <w:t>https://mcp.opencaselaw.ch/entscheid/bger_1C_431_2015</w:t>
      </w:r>
    </w:p>
    <w:p>
      <w:r>
        <w:t>FR: TF 1C_431/2015 du 14 mars 2016</w:t>
      </w:r>
    </w:p>
    <w:p>
      <w:r>
        <w:t>IT: TF 1C_431/2015 del 14 marzo 2016</w:t>
      </w:r>
    </w:p>
    <w:p>
      <w:pPr>
        <w:pStyle w:val="Heading2"/>
      </w:pPr>
      <w:r>
        <w:t>Erwägungen</w:t>
      </w:r>
    </w:p>
    <w:p>
      <w:r>
        <w:rPr>
          <w:b/>
        </w:rPr>
        <w:t>E. 1.1</w:t>
      </w:r>
    </w:p>
    <w:p>
      <w:r>
        <w:t>Angefochten ist ein letztinstanzlicher kantonaler Entscheid in einer öffentlich-rechtlichen Angelegenheit ( Art. 82 lit. a, Art. 86 Abs. 1 lit. d BGG ). Ein Ausschlussgrund gemäss Art. 83 BGG liegt nicht vor.</w:t>
      </w:r>
    </w:p>
    <w:p>
      <w:r>
        <w:rPr>
          <w:b/>
        </w:rPr>
        <w:t>E. 1.2</w:t>
      </w:r>
    </w:p>
    <w:p>
      <w:r>
        <w:t>Das angefochtene Urteil weist die Angelegenheit zur weiteren Behandlung an die Bewilligungsbehörden zurück. Obwohl das Kantonsgericht die erteilten Bewilligungen aufgehoben hat, schliesst sein Entscheid das Verfahren - wie dies auch der Beschwerdeführer anmerkt - nicht ab; dieses ist weiterhin hängig (erneut vor den kommunalen und kantonalen Bewilligungsbehörden). Das angefochtene Urteil stellt daher keinen Endentscheid, sondern einen Zwischenentscheid dar ( BGE 134 II 124 E. 1.3 S. 127; 133 II 409 E. 1.2 S. 411 f.).</w:t>
      </w:r>
    </w:p>
    <w:p>
      <w:r>
        <w:rPr>
          <w:b/>
        </w:rPr>
        <w:t>E. 1.3</w:t>
      </w:r>
    </w:p>
    <w:p>
      <w:r>
        <w:t>Ein Zwischenentscheid ist - von den hier nicht gegebenen Ausnahmen gemäss Art. 92 BGG abgesehen - beim Bundesgericht nur unter den Voraussetzungen von Art. 93 Abs. 1 BGG anfechtbar, d.h. wenn er einen nicht wieder gutzumachenden Nachteil bewirken kann (lit. a) oder wenn die Gutheissung der Beschwerde sofort einen Endentscheid herbeiführen und damit einen bedeutenden Aufwand an Zeit oder Kosten für ein weitläufiges Beweisverfahren ersparen würde (lit. b). Diese Ausnahmevoraussetzungen sollen das Bundesgericht insoweit entlasten, als es sich möglichst nur einmal mit einer Sache befassen soll. Können allfällige Nachteile in verhältnismässiger Weise auch noch mit einer bundesgerichtlichen Beurteilung nach Ausfällung des Endentscheids behoben werden, so tritt das Bundesgericht auf eine Beschwerde gegen einen Zwischenentscheid nicht ein ( BGE 135 II 30 E. 1.3.2 S. 34 f.). Immerhin muss aber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einen Zwischenentscheid einzutreten, wenn es rechtsstaatlich unzumutbar wäre, die Parteien auf die Anfechtung des Endentscheids zu verweisen ( BGE 136 II 165 E. 1.2.1 S. 170 f. mit Hinweisen).</w:t>
      </w:r>
    </w:p>
    <w:p>
      <w:r>
        <w:rPr>
          <w:b/>
        </w:rPr>
        <w:t>E. 1.4</w:t>
      </w:r>
    </w:p>
    <w:p>
      <w:r>
        <w:t>Der Beschwerdeführer beruft sich zu Recht nicht auf Art. 93 Abs. 1 lit. b BGG . Indes macht er geltend, die Rückweisung des Baugesuchs aufgrund einer falschen Sachverhaltsdarstellung verursache eine "unnötige Extrarunde im bereits über zwei Jahre dauernden Bewilligungsverfahren", in dem er das Projekt wegen verschiedener Einsprachen immer wieder habe anpassen müssen. Dabei verkennt er aber, dass nach ständiger Rechtsprechung des Bundesgerichts die blosse Verlängerung des Verfahrens keinen nicht wieder gutzumachenden Nachteil bewirkt ( BGE 135 II 30 E. 1.3.4 S. 36). Ein solcher liegt bei einer Rückweisung der Sache an die Verwaltung zu ergänzender Abklärung und neuer Entscheidung in der Regel nicht vor ( BGE 137 V 314 E. 2.1 S. 316 mit Hinweisen). Sodann lässt sich die bisherige Verfahrensdauer insbesondere dadurch erklären, dass das Bauvorhaben mehrmals abgeändert und die Betriebsgemeinschaft aufgelöst worden ist (vgl. Bst. B und C hiervor). Insoweit hat sich der Beschwerdeführer die damit verbundene Verzögerung in erster Linie selbst anzurechnen. Auch wird weder rechtsgenüglich dargelegt noch ist ersichtlich, dass die mit der Rückweisung verbundene Aufforderung zur Ergänzung des Planänderungsgesuchs und dessen öffentlicher Auflage sowie Prüfung durch die Baubewilligungsbehörden einen Verstoss gegen das Beschleunigungsgebot begründen. Es kann daher nicht von einer übermässig langen Verfahrensdauer gesprochen werden.</w:t>
      </w:r>
    </w:p>
    <w:p>
      <w:r>
        <w:rPr>
          <w:b/>
        </w:rPr>
        <w:t>E. 1.5</w:t>
      </w:r>
    </w:p>
    <w:p>
      <w:r>
        <w:t>Überdies bekundet der Beschwerdeführer ein Interesse an der Behandlung seiner Vorbringen, da er - sofern keine neuen Einsprachen erhoben würden - die alsdann erteilte Baubewilligung anfechten müsste, um die durch die Rückweisung entstehenden Mehrkosten ersetzen zu können. Auch dieser Einwand vermag nicht zu überzeugen. Nach der Rechtsprechung genügt die blosse Verteuerung des Verfahrens generell nicht, um einen sofortigen Entscheid des Bundesgerichts zu erwirken ( BGE 136 II 165 E. 1.2.1 S. 170). Ebenso wenig verursacht ein im Rahmen der Rückweisung von der Vorinstanz getroffener Entscheid über die Kostenfolgen einen nicht wieder gutzumachenden Nachteil, weil dieser im Anschluss an den aufgrund der Rückweisung neu ergehenden Endentscheid in der Sache angefochten werden kann ( Art. 93 Abs. 3 BGG ; BGE 135 III 329 E. 1.2.2 S. 332 f.; 133 IV 645 E. 2.2 S. 648). Für den Fall, dass die Baubewilligungsbehörden vollständig zugunsten des Beschwerdeführers befinden und er deshalb keinen Anlass mehr hat, diesen Entscheid in der Sache anzufechten, kann er die Kosten- und Entschädigungsregelung im Rückweisungsentscheid direkt beim Bundesgericht anfechten ( BGE 133 V 645 E. 2.2 S. 648 ; 122 I 39 E. 1a/bb S. 42 f.).</w:t>
      </w:r>
    </w:p>
    <w:p>
      <w:r>
        <w:rPr>
          <w:b/>
        </w:rPr>
        <w:t>E. 1.6</w:t>
      </w:r>
    </w:p>
    <w:p>
      <w:r>
        <w:t>Mithin liegt kein nicht wieder gutzumachender Nachteil vor, weshalb schon aus diesem Grund auf die Beschwerde nicht einzutreten ist. Es erübrigt sich daher, die weiteren Eintretensvoraussetzungen zu prüfen.</w:t>
      </w:r>
    </w:p>
    <w:p>
      <w:r>
        <w:rPr>
          <w:b/>
        </w:rPr>
        <w:t>E. 2</w:t>
      </w:r>
    </w:p>
    <w:p>
      <w:r>
        <w:t>Bei diesem Verfahrensausgang wird der Beschwerdeführer kostenpflichtig ( Art. 66 Abs. 1 BGG ) und hat er den Beschwerdegegnern eine Parteientschädigung auszurichten ( Art. 68 Abs. 1 BGG ). Ausgehend von der Kostennote der Beschwerdegegner erscheint ein Betrag von Fr. 2'500.-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